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8B785" w14:textId="77777777" w:rsidR="001B7071" w:rsidRDefault="001B7071" w:rsidP="003E72FE">
      <w:pPr>
        <w:jc w:val="center"/>
        <w:rPr>
          <w:rFonts w:ascii="Arial" w:hAnsi="Arial" w:cs="Arial"/>
          <w:sz w:val="22"/>
          <w:szCs w:val="22"/>
        </w:rPr>
      </w:pPr>
    </w:p>
    <w:p w14:paraId="6BF068AB" w14:textId="26300440" w:rsidR="007B4297" w:rsidRPr="007B4297" w:rsidRDefault="007B4297" w:rsidP="00EF1843">
      <w:pPr>
        <w:spacing w:line="276" w:lineRule="auto"/>
        <w:jc w:val="center"/>
        <w:rPr>
          <w:rFonts w:ascii="Arial" w:hAnsi="Arial" w:cs="Arial"/>
          <w:color w:val="141413"/>
          <w:kern w:val="36"/>
          <w:sz w:val="20"/>
          <w:szCs w:val="20"/>
        </w:rPr>
      </w:pPr>
      <w:r w:rsidRPr="007B4297">
        <w:rPr>
          <w:rFonts w:ascii="Arial" w:hAnsi="Arial" w:cs="Arial"/>
          <w:color w:val="141413"/>
          <w:kern w:val="36"/>
          <w:sz w:val="20"/>
          <w:szCs w:val="20"/>
        </w:rPr>
        <w:t>DATI EXPORT E DOMESTICI</w:t>
      </w:r>
    </w:p>
    <w:p w14:paraId="0C8E75C1" w14:textId="7E0B398F" w:rsidR="00EF1843" w:rsidRPr="001654D4" w:rsidRDefault="00EF1843" w:rsidP="00EF1843">
      <w:pPr>
        <w:spacing w:line="276" w:lineRule="auto"/>
        <w:jc w:val="center"/>
        <w:rPr>
          <w:rFonts w:ascii="Arial" w:hAnsi="Arial" w:cs="Arial"/>
          <w:b/>
          <w:bCs/>
          <w:color w:val="141413"/>
          <w:kern w:val="36"/>
          <w:sz w:val="36"/>
          <w:szCs w:val="36"/>
        </w:rPr>
      </w:pPr>
      <w:r w:rsidRPr="001654D4">
        <w:rPr>
          <w:rFonts w:ascii="Arial" w:hAnsi="Arial" w:cs="Arial"/>
          <w:b/>
          <w:bCs/>
          <w:color w:val="141413"/>
          <w:kern w:val="36"/>
          <w:sz w:val="36"/>
          <w:szCs w:val="36"/>
        </w:rPr>
        <w:t xml:space="preserve">Il Gavi Docg consolida la presenza internazionale </w:t>
      </w:r>
    </w:p>
    <w:p w14:paraId="504827DB" w14:textId="77777777" w:rsidR="00EF1843" w:rsidRPr="001654D4" w:rsidRDefault="00EF1843" w:rsidP="00EF1843">
      <w:pPr>
        <w:spacing w:line="276" w:lineRule="auto"/>
        <w:jc w:val="center"/>
        <w:rPr>
          <w:rFonts w:ascii="Arial" w:hAnsi="Arial" w:cs="Arial"/>
          <w:i/>
          <w:iCs/>
          <w:color w:val="141413"/>
          <w:kern w:val="36"/>
        </w:rPr>
      </w:pPr>
      <w:r w:rsidRPr="001654D4">
        <w:rPr>
          <w:rFonts w:ascii="Arial" w:hAnsi="Arial" w:cs="Arial"/>
          <w:i/>
          <w:iCs/>
          <w:color w:val="141413"/>
          <w:kern w:val="36"/>
        </w:rPr>
        <w:t>Il Gavi Docg chiude il 2025 con circa 14 milioni di bottiglie vendute, confermando un primato tra i vini bianchi italiani sui mercati esteri e segnando anche una piccola inaspettata crescita delle vendite domestiche.</w:t>
      </w:r>
    </w:p>
    <w:p w14:paraId="7B2DE5FB" w14:textId="77777777" w:rsidR="00EF1843" w:rsidRPr="001654D4" w:rsidRDefault="00EF1843" w:rsidP="00EF1843">
      <w:pPr>
        <w:spacing w:line="276" w:lineRule="auto"/>
        <w:jc w:val="both"/>
        <w:rPr>
          <w:rFonts w:ascii="Arial" w:hAnsi="Arial" w:cs="Arial"/>
          <w:color w:val="141413"/>
          <w:kern w:val="36"/>
          <w:sz w:val="22"/>
          <w:szCs w:val="22"/>
        </w:rPr>
      </w:pPr>
    </w:p>
    <w:p w14:paraId="2ADCBDD4" w14:textId="77777777" w:rsidR="00EF1843" w:rsidRPr="001654D4" w:rsidRDefault="00EF1843" w:rsidP="00EF1843">
      <w:pPr>
        <w:spacing w:line="276" w:lineRule="auto"/>
        <w:jc w:val="both"/>
        <w:rPr>
          <w:rFonts w:ascii="Arial" w:hAnsi="Arial" w:cs="Arial"/>
          <w:color w:val="141413"/>
          <w:kern w:val="36"/>
          <w:sz w:val="22"/>
          <w:szCs w:val="22"/>
        </w:rPr>
      </w:pPr>
    </w:p>
    <w:p w14:paraId="716B3A5D" w14:textId="77777777" w:rsidR="00EF1843" w:rsidRPr="001654D4" w:rsidRDefault="00EF1843" w:rsidP="00EF1843">
      <w:pPr>
        <w:spacing w:line="276" w:lineRule="auto"/>
        <w:jc w:val="both"/>
        <w:rPr>
          <w:rFonts w:ascii="Arial" w:hAnsi="Arial" w:cs="Arial"/>
          <w:color w:val="141413"/>
          <w:kern w:val="36"/>
          <w:sz w:val="22"/>
          <w:szCs w:val="22"/>
        </w:rPr>
      </w:pPr>
      <w:r w:rsidRPr="001654D4">
        <w:rPr>
          <w:rFonts w:ascii="Arial" w:hAnsi="Arial" w:cs="Arial"/>
          <w:color w:val="141413"/>
          <w:kern w:val="36"/>
          <w:sz w:val="22"/>
          <w:szCs w:val="22"/>
        </w:rPr>
        <w:t>Gavi, giugno 2026 — Il Consorzio Tutela del Gavi rende noti i dati di vendita della denominazione per l'anno solare 2025, che confermano l’importante presenza internazionale del Gavi Docg. Con oltre 12 milioni di bottiglie esportate— pari al 91% della produzione — la denominazione raggiunge  tutti i mercati del mondo, dall'Europa al Nord America, dall'Asia al Medio Oriente.</w:t>
      </w:r>
    </w:p>
    <w:p w14:paraId="39AB0583" w14:textId="2EBF6F5E" w:rsidR="00EF1843" w:rsidRPr="001654D4" w:rsidRDefault="00EF1843" w:rsidP="00EF1843">
      <w:pPr>
        <w:spacing w:line="276" w:lineRule="auto"/>
        <w:jc w:val="both"/>
        <w:rPr>
          <w:rFonts w:ascii="Arial" w:hAnsi="Arial" w:cs="Arial"/>
          <w:color w:val="141413"/>
          <w:kern w:val="36"/>
          <w:sz w:val="22"/>
          <w:szCs w:val="22"/>
        </w:rPr>
      </w:pPr>
      <w:r w:rsidRPr="001654D4">
        <w:rPr>
          <w:rFonts w:ascii="Arial" w:hAnsi="Arial" w:cs="Arial"/>
          <w:color w:val="141413"/>
          <w:kern w:val="36"/>
          <w:sz w:val="22"/>
          <w:szCs w:val="22"/>
        </w:rPr>
        <w:t>Il dato più interessante di questa release 2025 è la piccola inversione di tendenza sul mercato interno, un segnale modesto in termini assoluti, ma simbolicamente significativo: dopo un decennio di calo progressivo, le vendite in Italia tornano a crescere, superando il milione di bottiglie</w:t>
      </w:r>
      <w:r w:rsidR="00BC65DE">
        <w:rPr>
          <w:rFonts w:ascii="Arial" w:hAnsi="Arial" w:cs="Arial"/>
          <w:color w:val="141413"/>
          <w:kern w:val="36"/>
          <w:sz w:val="22"/>
          <w:szCs w:val="22"/>
        </w:rPr>
        <w:t>.</w:t>
      </w:r>
    </w:p>
    <w:p w14:paraId="70FF32A7" w14:textId="77777777" w:rsidR="00EF1843" w:rsidRPr="001654D4" w:rsidRDefault="00EF1843" w:rsidP="00EF1843">
      <w:pPr>
        <w:spacing w:line="276" w:lineRule="auto"/>
        <w:jc w:val="both"/>
        <w:rPr>
          <w:rFonts w:ascii="Arial" w:hAnsi="Arial" w:cs="Arial"/>
          <w:color w:val="141413"/>
          <w:kern w:val="36"/>
          <w:sz w:val="22"/>
          <w:szCs w:val="22"/>
        </w:rPr>
      </w:pPr>
    </w:p>
    <w:p w14:paraId="09471620" w14:textId="77777777" w:rsidR="00EF1843" w:rsidRPr="001654D4" w:rsidRDefault="00EF1843" w:rsidP="00EF1843">
      <w:pPr>
        <w:spacing w:line="276" w:lineRule="auto"/>
        <w:jc w:val="both"/>
        <w:rPr>
          <w:rFonts w:ascii="Arial" w:hAnsi="Arial" w:cs="Arial"/>
          <w:color w:val="141413"/>
          <w:kern w:val="36"/>
          <w:sz w:val="22"/>
          <w:szCs w:val="22"/>
        </w:rPr>
      </w:pPr>
      <w:r w:rsidRPr="001654D4">
        <w:rPr>
          <w:rFonts w:ascii="Arial" w:hAnsi="Arial" w:cs="Arial"/>
          <w:color w:val="141413"/>
          <w:kern w:val="36"/>
          <w:sz w:val="22"/>
          <w:szCs w:val="22"/>
        </w:rPr>
        <w:t>I DATI DELL’EXPORT E LA SORPRESA CINA</w:t>
      </w:r>
    </w:p>
    <w:p w14:paraId="07287B02" w14:textId="62AC4E50" w:rsidR="00EF1843" w:rsidRPr="001654D4" w:rsidRDefault="00EF1843" w:rsidP="00EF1843">
      <w:pPr>
        <w:spacing w:line="276" w:lineRule="auto"/>
        <w:jc w:val="both"/>
        <w:rPr>
          <w:rFonts w:ascii="Arial" w:hAnsi="Arial" w:cs="Arial"/>
          <w:color w:val="141413"/>
          <w:kern w:val="36"/>
          <w:sz w:val="22"/>
          <w:szCs w:val="22"/>
        </w:rPr>
      </w:pPr>
      <w:r w:rsidRPr="001654D4">
        <w:rPr>
          <w:rFonts w:ascii="Arial" w:hAnsi="Arial" w:cs="Arial"/>
          <w:color w:val="141413"/>
          <w:kern w:val="36"/>
          <w:sz w:val="22"/>
          <w:szCs w:val="22"/>
        </w:rPr>
        <w:t>La Gran Bretagna rimane di gran lunga il primo mercato di riferimento del Gavi Docg, con 7 milioni di bottiglie vendute nel 2025, pari</w:t>
      </w:r>
      <w:r w:rsidR="00BC65DE">
        <w:rPr>
          <w:rFonts w:ascii="Arial" w:hAnsi="Arial" w:cs="Arial"/>
          <w:color w:val="141413"/>
          <w:kern w:val="36"/>
          <w:sz w:val="22"/>
          <w:szCs w:val="22"/>
        </w:rPr>
        <w:t xml:space="preserve"> a oltre il </w:t>
      </w:r>
      <w:r w:rsidRPr="001654D4">
        <w:rPr>
          <w:rFonts w:ascii="Arial" w:hAnsi="Arial" w:cs="Arial"/>
          <w:color w:val="141413"/>
          <w:kern w:val="36"/>
          <w:sz w:val="22"/>
          <w:szCs w:val="22"/>
        </w:rPr>
        <w:t>60</w:t>
      </w:r>
      <w:r w:rsidR="00BC65DE">
        <w:rPr>
          <w:rFonts w:ascii="Arial" w:hAnsi="Arial" w:cs="Arial"/>
          <w:color w:val="141413"/>
          <w:kern w:val="36"/>
          <w:sz w:val="22"/>
          <w:szCs w:val="22"/>
        </w:rPr>
        <w:t xml:space="preserve">% </w:t>
      </w:r>
      <w:r w:rsidRPr="001654D4">
        <w:rPr>
          <w:rFonts w:ascii="Arial" w:hAnsi="Arial" w:cs="Arial"/>
          <w:color w:val="141413"/>
          <w:kern w:val="36"/>
          <w:sz w:val="22"/>
          <w:szCs w:val="22"/>
        </w:rPr>
        <w:t xml:space="preserve">dell'export. Gli Stati Uniti si confermano al secondo posto con oltre 1 milione e mezzo di bottiglie </w:t>
      </w:r>
      <w:r w:rsidR="00BC65DE">
        <w:rPr>
          <w:rFonts w:ascii="Arial" w:hAnsi="Arial" w:cs="Arial"/>
          <w:color w:val="141413"/>
          <w:kern w:val="36"/>
          <w:sz w:val="22"/>
          <w:szCs w:val="22"/>
        </w:rPr>
        <w:t xml:space="preserve"> circa </w:t>
      </w:r>
      <w:r w:rsidRPr="001654D4">
        <w:rPr>
          <w:rFonts w:ascii="Arial" w:hAnsi="Arial" w:cs="Arial"/>
          <w:color w:val="141413"/>
          <w:kern w:val="36"/>
          <w:sz w:val="22"/>
          <w:szCs w:val="22"/>
        </w:rPr>
        <w:t>(1</w:t>
      </w:r>
      <w:r w:rsidR="007D2768" w:rsidRPr="001654D4">
        <w:rPr>
          <w:rFonts w:ascii="Arial" w:hAnsi="Arial" w:cs="Arial"/>
          <w:color w:val="141413"/>
          <w:kern w:val="36"/>
          <w:sz w:val="22"/>
          <w:szCs w:val="22"/>
        </w:rPr>
        <w:t>3</w:t>
      </w:r>
      <w:r w:rsidR="00BC65DE">
        <w:rPr>
          <w:rFonts w:ascii="Arial" w:hAnsi="Arial" w:cs="Arial"/>
          <w:color w:val="141413"/>
          <w:kern w:val="36"/>
          <w:sz w:val="22"/>
          <w:szCs w:val="22"/>
        </w:rPr>
        <w:t>%)</w:t>
      </w:r>
      <w:r w:rsidRPr="001654D4">
        <w:rPr>
          <w:rFonts w:ascii="Arial" w:hAnsi="Arial" w:cs="Arial"/>
          <w:color w:val="141413"/>
          <w:kern w:val="36"/>
          <w:sz w:val="22"/>
          <w:szCs w:val="22"/>
        </w:rPr>
        <w:t xml:space="preserve"> la Germania si attesta al terzo con 5,6%, seguita da Russia, Irlanda e Malta dove circolano oltre 300.000 bottiglie di Gavi. Si rafforza anche il Canada in crescita del 43% sul 2023, e gli Emirati Arabi si consolidano come principale piazza del Medio Oriente.</w:t>
      </w:r>
    </w:p>
    <w:p w14:paraId="3703A3BD" w14:textId="77777777" w:rsidR="00EF1843" w:rsidRPr="001654D4" w:rsidRDefault="00EF1843" w:rsidP="00EF1843">
      <w:pPr>
        <w:spacing w:line="276" w:lineRule="auto"/>
        <w:jc w:val="both"/>
        <w:rPr>
          <w:rFonts w:ascii="Arial" w:hAnsi="Arial" w:cs="Arial"/>
          <w:color w:val="141413"/>
          <w:kern w:val="36"/>
          <w:sz w:val="22"/>
          <w:szCs w:val="22"/>
        </w:rPr>
      </w:pPr>
    </w:p>
    <w:p w14:paraId="21AD635A" w14:textId="117948EA" w:rsidR="00EF1843" w:rsidRPr="001654D4" w:rsidRDefault="00EF1843" w:rsidP="00EF1843">
      <w:pPr>
        <w:spacing w:line="276" w:lineRule="auto"/>
        <w:jc w:val="both"/>
        <w:rPr>
          <w:rFonts w:ascii="Arial" w:hAnsi="Arial" w:cs="Arial"/>
          <w:color w:val="141413"/>
          <w:kern w:val="36"/>
          <w:sz w:val="22"/>
          <w:szCs w:val="22"/>
        </w:rPr>
      </w:pPr>
      <w:r w:rsidRPr="001654D4">
        <w:rPr>
          <w:rFonts w:ascii="Arial" w:hAnsi="Arial" w:cs="Arial"/>
          <w:color w:val="141413"/>
          <w:kern w:val="36"/>
          <w:sz w:val="22"/>
          <w:szCs w:val="22"/>
        </w:rPr>
        <w:t>Tra i mercati orientali, il Giappone si conferma il primo paese di assorbimento. Ma è la Cina a registrare un’accelerazione significativa nel biennio: l'export di Gavi DOCG è passato da meno di 10.000 bottiglie nel 2023 — pari allo 0,06% del totale — a oltre 100.000 bottiglie nel 2025, portando la quota allo 0,</w:t>
      </w:r>
      <w:r w:rsidR="007D2768" w:rsidRPr="001654D4">
        <w:rPr>
          <w:rFonts w:ascii="Arial" w:hAnsi="Arial" w:cs="Arial"/>
          <w:color w:val="141413"/>
          <w:kern w:val="36"/>
          <w:sz w:val="22"/>
          <w:szCs w:val="22"/>
        </w:rPr>
        <w:t>82</w:t>
      </w:r>
      <w:r w:rsidRPr="001654D4">
        <w:rPr>
          <w:rFonts w:ascii="Arial" w:hAnsi="Arial" w:cs="Arial"/>
          <w:color w:val="141413"/>
          <w:kern w:val="36"/>
          <w:sz w:val="22"/>
          <w:szCs w:val="22"/>
        </w:rPr>
        <w:t xml:space="preserve">%. </w:t>
      </w:r>
    </w:p>
    <w:p w14:paraId="13C9376F" w14:textId="77777777" w:rsidR="00EF1843" w:rsidRPr="001654D4" w:rsidRDefault="00EF1843" w:rsidP="00EF1843">
      <w:pPr>
        <w:spacing w:line="276" w:lineRule="auto"/>
        <w:jc w:val="both"/>
        <w:rPr>
          <w:rFonts w:ascii="Arial" w:hAnsi="Arial" w:cs="Arial"/>
          <w:color w:val="141413"/>
          <w:kern w:val="36"/>
          <w:sz w:val="22"/>
          <w:szCs w:val="22"/>
        </w:rPr>
      </w:pPr>
    </w:p>
    <w:p w14:paraId="29605898" w14:textId="77777777" w:rsidR="00EF1843" w:rsidRPr="001654D4" w:rsidRDefault="00EF1843" w:rsidP="00EF1843">
      <w:pPr>
        <w:spacing w:line="276" w:lineRule="auto"/>
        <w:jc w:val="both"/>
        <w:rPr>
          <w:rFonts w:ascii="Arial" w:hAnsi="Arial" w:cs="Arial"/>
          <w:color w:val="141413"/>
          <w:kern w:val="36"/>
          <w:sz w:val="22"/>
          <w:szCs w:val="22"/>
        </w:rPr>
      </w:pPr>
      <w:r w:rsidRPr="001654D4">
        <w:rPr>
          <w:rFonts w:ascii="Arial" w:hAnsi="Arial" w:cs="Arial"/>
          <w:color w:val="141413"/>
          <w:kern w:val="36"/>
          <w:sz w:val="22"/>
          <w:szCs w:val="22"/>
        </w:rPr>
        <w:t>IL MERCATO INTERNO</w:t>
      </w:r>
    </w:p>
    <w:p w14:paraId="70338CB1" w14:textId="07454E2C" w:rsidR="00EF1843" w:rsidRPr="001654D4" w:rsidRDefault="00EF1843" w:rsidP="00EF1843">
      <w:pPr>
        <w:spacing w:line="276" w:lineRule="auto"/>
        <w:jc w:val="both"/>
        <w:rPr>
          <w:rFonts w:ascii="Arial" w:hAnsi="Arial" w:cs="Arial"/>
          <w:color w:val="141413"/>
          <w:kern w:val="36"/>
          <w:sz w:val="22"/>
          <w:szCs w:val="22"/>
        </w:rPr>
      </w:pPr>
      <w:r w:rsidRPr="001654D4">
        <w:rPr>
          <w:rFonts w:ascii="Arial" w:hAnsi="Arial" w:cs="Arial"/>
          <w:color w:val="141413"/>
          <w:kern w:val="36"/>
          <w:sz w:val="22"/>
          <w:szCs w:val="22"/>
        </w:rPr>
        <w:t>All'interno dei confini nazionali, il consumo del Gavi DOCG è fortemente concentrato nelle regioni settentrionali: il Piemonte rappresenta il bacino principale con il 42,46% dei volumi nazionali nel 2023 e il 4</w:t>
      </w:r>
      <w:r w:rsidR="007D2768" w:rsidRPr="001654D4">
        <w:rPr>
          <w:rFonts w:ascii="Arial" w:hAnsi="Arial" w:cs="Arial"/>
          <w:color w:val="141413"/>
          <w:kern w:val="36"/>
          <w:sz w:val="22"/>
          <w:szCs w:val="22"/>
        </w:rPr>
        <w:t>4,19</w:t>
      </w:r>
      <w:r w:rsidRPr="001654D4">
        <w:rPr>
          <w:rFonts w:ascii="Arial" w:hAnsi="Arial" w:cs="Arial"/>
          <w:color w:val="141413"/>
          <w:kern w:val="36"/>
          <w:sz w:val="22"/>
          <w:szCs w:val="22"/>
        </w:rPr>
        <w:t>% nel 2025. Le altre regioni del Nord Italia seguono a breve distanza, assorbendo il 4</w:t>
      </w:r>
      <w:r w:rsidR="007D2768" w:rsidRPr="001654D4">
        <w:rPr>
          <w:rFonts w:ascii="Arial" w:hAnsi="Arial" w:cs="Arial"/>
          <w:color w:val="141413"/>
          <w:kern w:val="36"/>
          <w:sz w:val="22"/>
          <w:szCs w:val="22"/>
        </w:rPr>
        <w:t>0,96</w:t>
      </w:r>
      <w:r w:rsidRPr="001654D4">
        <w:rPr>
          <w:rFonts w:ascii="Arial" w:hAnsi="Arial" w:cs="Arial"/>
          <w:color w:val="141413"/>
          <w:kern w:val="36"/>
          <w:sz w:val="22"/>
          <w:szCs w:val="22"/>
        </w:rPr>
        <w:t>% nel 2025, seguite da Centro e Sud</w:t>
      </w:r>
      <w:r w:rsidR="00BC65DE">
        <w:rPr>
          <w:rFonts w:ascii="Arial" w:hAnsi="Arial" w:cs="Arial"/>
          <w:color w:val="141413"/>
          <w:kern w:val="36"/>
          <w:sz w:val="22"/>
          <w:szCs w:val="22"/>
        </w:rPr>
        <w:t xml:space="preserve">. </w:t>
      </w:r>
      <w:r w:rsidRPr="001654D4">
        <w:rPr>
          <w:rFonts w:ascii="Arial" w:hAnsi="Arial" w:cs="Arial"/>
          <w:color w:val="141413"/>
          <w:kern w:val="36"/>
          <w:sz w:val="22"/>
          <w:szCs w:val="22"/>
        </w:rPr>
        <w:t>La lieve crescita della quota piemontese è riconducibile al crescente interesse e all’aumento degli investimenti delle cantine del territorio per l'enoturismo, il canale che porta il consumatore direttamente in cantina.</w:t>
      </w:r>
    </w:p>
    <w:p w14:paraId="04A95B77" w14:textId="77777777" w:rsidR="00EF1843" w:rsidRPr="001654D4" w:rsidRDefault="00EF1843" w:rsidP="00EF1843">
      <w:pPr>
        <w:spacing w:line="276" w:lineRule="auto"/>
        <w:jc w:val="both"/>
        <w:rPr>
          <w:rFonts w:ascii="Arial" w:hAnsi="Arial" w:cs="Arial"/>
          <w:color w:val="141413"/>
          <w:kern w:val="36"/>
          <w:sz w:val="22"/>
          <w:szCs w:val="22"/>
        </w:rPr>
      </w:pPr>
    </w:p>
    <w:p w14:paraId="2F52B072" w14:textId="77777777" w:rsidR="00BC65DE" w:rsidRDefault="00BC65DE" w:rsidP="00EF1843">
      <w:pPr>
        <w:spacing w:line="276" w:lineRule="auto"/>
        <w:jc w:val="both"/>
        <w:rPr>
          <w:rFonts w:ascii="Arial" w:hAnsi="Arial" w:cs="Arial"/>
          <w:color w:val="141413"/>
          <w:kern w:val="36"/>
          <w:sz w:val="22"/>
          <w:szCs w:val="22"/>
        </w:rPr>
      </w:pPr>
    </w:p>
    <w:p w14:paraId="68EB0231" w14:textId="77777777" w:rsidR="00BC65DE" w:rsidRDefault="00BC65DE" w:rsidP="00EF1843">
      <w:pPr>
        <w:spacing w:line="276" w:lineRule="auto"/>
        <w:jc w:val="both"/>
        <w:rPr>
          <w:rFonts w:ascii="Arial" w:hAnsi="Arial" w:cs="Arial"/>
          <w:color w:val="141413"/>
          <w:kern w:val="36"/>
          <w:sz w:val="22"/>
          <w:szCs w:val="22"/>
        </w:rPr>
      </w:pPr>
    </w:p>
    <w:p w14:paraId="50E7D6EE" w14:textId="77777777" w:rsidR="00BC65DE" w:rsidRDefault="00BC65DE" w:rsidP="00EF1843">
      <w:pPr>
        <w:spacing w:line="276" w:lineRule="auto"/>
        <w:jc w:val="both"/>
        <w:rPr>
          <w:rFonts w:ascii="Arial" w:hAnsi="Arial" w:cs="Arial"/>
          <w:color w:val="141413"/>
          <w:kern w:val="36"/>
          <w:sz w:val="22"/>
          <w:szCs w:val="22"/>
        </w:rPr>
      </w:pPr>
    </w:p>
    <w:p w14:paraId="70268CC4" w14:textId="1ABFF35C" w:rsidR="00EF1843" w:rsidRPr="001654D4" w:rsidRDefault="00EF1843" w:rsidP="00EF1843">
      <w:pPr>
        <w:spacing w:line="276" w:lineRule="auto"/>
        <w:jc w:val="both"/>
        <w:rPr>
          <w:rFonts w:ascii="Arial" w:hAnsi="Arial" w:cs="Arial"/>
          <w:color w:val="141413"/>
          <w:kern w:val="36"/>
          <w:sz w:val="22"/>
          <w:szCs w:val="22"/>
        </w:rPr>
      </w:pPr>
      <w:r w:rsidRPr="001654D4">
        <w:rPr>
          <w:rFonts w:ascii="Arial" w:hAnsi="Arial" w:cs="Arial"/>
          <w:color w:val="141413"/>
          <w:kern w:val="36"/>
          <w:sz w:val="22"/>
          <w:szCs w:val="22"/>
        </w:rPr>
        <w:t>DISTRIBUZIONE</w:t>
      </w:r>
    </w:p>
    <w:p w14:paraId="11F31F4F" w14:textId="77777777" w:rsidR="00EF1843" w:rsidRPr="001654D4" w:rsidRDefault="00EF1843" w:rsidP="00EF1843">
      <w:pPr>
        <w:spacing w:line="276" w:lineRule="auto"/>
        <w:jc w:val="both"/>
        <w:rPr>
          <w:rFonts w:ascii="Arial" w:hAnsi="Arial" w:cs="Arial"/>
          <w:color w:val="141413"/>
          <w:kern w:val="36"/>
          <w:sz w:val="22"/>
          <w:szCs w:val="22"/>
        </w:rPr>
      </w:pPr>
      <w:r w:rsidRPr="001654D4">
        <w:rPr>
          <w:rFonts w:ascii="Arial" w:hAnsi="Arial" w:cs="Arial"/>
          <w:color w:val="141413"/>
          <w:kern w:val="36"/>
          <w:sz w:val="22"/>
          <w:szCs w:val="22"/>
        </w:rPr>
        <w:lastRenderedPageBreak/>
        <w:t>Per quanto riguarda i canali distributivi globali, la GDO mantiene il primato delle vendite, sebbene si registri uno spostamento significativo dei pesi: la grande distribuzione passa dal 58% del 2023 al 52% del 2025, a favore del canale Horeca che sale dal 42% al 48%.</w:t>
      </w:r>
    </w:p>
    <w:p w14:paraId="3704E6F3" w14:textId="77777777" w:rsidR="00EF1843" w:rsidRPr="001654D4" w:rsidRDefault="00EF1843" w:rsidP="00EF1843">
      <w:pPr>
        <w:spacing w:line="276" w:lineRule="auto"/>
        <w:jc w:val="both"/>
        <w:rPr>
          <w:rFonts w:ascii="Arial" w:hAnsi="Arial" w:cs="Arial"/>
          <w:color w:val="141413"/>
          <w:kern w:val="36"/>
          <w:sz w:val="22"/>
          <w:szCs w:val="22"/>
        </w:rPr>
      </w:pPr>
    </w:p>
    <w:p w14:paraId="521CDC88" w14:textId="77777777" w:rsidR="00EF1843" w:rsidRPr="001654D4" w:rsidRDefault="00EF1843" w:rsidP="00EF1843">
      <w:pPr>
        <w:spacing w:line="276" w:lineRule="auto"/>
        <w:jc w:val="both"/>
        <w:rPr>
          <w:rFonts w:ascii="Arial" w:hAnsi="Arial" w:cs="Arial"/>
          <w:color w:val="141413"/>
          <w:kern w:val="36"/>
          <w:sz w:val="22"/>
          <w:szCs w:val="22"/>
        </w:rPr>
      </w:pPr>
      <w:r w:rsidRPr="001654D4">
        <w:rPr>
          <w:rFonts w:ascii="Arial" w:hAnsi="Arial" w:cs="Arial"/>
          <w:color w:val="141413"/>
          <w:kern w:val="36"/>
          <w:sz w:val="22"/>
          <w:szCs w:val="22"/>
        </w:rPr>
        <w:t xml:space="preserve">Commenta così i numeri </w:t>
      </w:r>
      <w:r w:rsidRPr="001654D4">
        <w:rPr>
          <w:rFonts w:ascii="Arial" w:hAnsi="Arial" w:cs="Arial"/>
          <w:b/>
          <w:bCs/>
          <w:color w:val="141413"/>
          <w:kern w:val="36"/>
          <w:sz w:val="22"/>
          <w:szCs w:val="22"/>
        </w:rPr>
        <w:t>Maurizio Montobbio</w:t>
      </w:r>
      <w:r w:rsidRPr="001654D4">
        <w:rPr>
          <w:rFonts w:ascii="Arial" w:hAnsi="Arial" w:cs="Arial"/>
          <w:color w:val="141413"/>
          <w:kern w:val="36"/>
          <w:sz w:val="22"/>
          <w:szCs w:val="22"/>
        </w:rPr>
        <w:t xml:space="preserve">, Presidente del Consorzio Tutela del Gavi: «I dati ci confermano che il Gavi DOCG è uno dei vini bianchi italiani in buona salute. Stiamo attraversando crisi internazionali, dazi e conflitti dimostrando solidità grazie al lavoro condiviso tra produttori, Consorzio e istituzioni, tanto in vigna e in cantina quanto sui mercati, locale e internazionale. Siamo consapevoli che il Gavi - classico e contemporaneo insieme, storico nelle radici, versatile nell'abbinamento - incontra i gusti di consumatori esigenti e diversi tra loro e questo ci dà fiducia sul mercato domestico. Guardiamo con interesse alla sua crescita, seppur accennata, che ci dice che c'è ancora spazio per lavorare sul valore del nostro vino in Italia, anche proponendoci come destinazione enoturistica. In un momento in cui il consumatore cerca sempre più il contatto diretto con il prodotto e con chi lo fa, la cantina diventa il luogo di scoperta e di relazione dove si sta spostando il consumo esperienziale del vino, rispetto al ristorante. </w:t>
      </w:r>
    </w:p>
    <w:p w14:paraId="38452898" w14:textId="77777777" w:rsidR="00EF1843" w:rsidRPr="00ED0BE6" w:rsidRDefault="00EF1843" w:rsidP="00EF1843">
      <w:pPr>
        <w:spacing w:line="276" w:lineRule="auto"/>
        <w:jc w:val="both"/>
        <w:rPr>
          <w:rFonts w:ascii="Arial" w:hAnsi="Arial" w:cs="Arial"/>
          <w:color w:val="000000"/>
          <w:sz w:val="22"/>
          <w:szCs w:val="22"/>
        </w:rPr>
      </w:pPr>
      <w:r w:rsidRPr="001654D4">
        <w:rPr>
          <w:rFonts w:ascii="Arial" w:hAnsi="Arial" w:cs="Arial"/>
          <w:color w:val="141413"/>
          <w:kern w:val="36"/>
          <w:sz w:val="22"/>
          <w:szCs w:val="22"/>
        </w:rPr>
        <w:t>Per quanto riguarda le sfide che ci attendono, dovremo osservare con attenzione la dinamicità di mercati  e continuare a lavorare per mantenere sempre un’identità chiara, l’attenzione alla qualità e l’ottimo rapporto qualità/prezzo che negli anni è stata la nostra forza.»</w:t>
      </w:r>
    </w:p>
    <w:p w14:paraId="50332B3B" w14:textId="77777777" w:rsidR="00EF1843" w:rsidRPr="00ED0BE6" w:rsidRDefault="00EF1843" w:rsidP="00EF1843">
      <w:pPr>
        <w:spacing w:line="276" w:lineRule="auto"/>
        <w:jc w:val="both"/>
        <w:rPr>
          <w:rFonts w:ascii="Arial" w:hAnsi="Arial" w:cs="Arial"/>
          <w:sz w:val="22"/>
          <w:szCs w:val="22"/>
        </w:rPr>
      </w:pPr>
    </w:p>
    <w:p w14:paraId="560E525F" w14:textId="77777777" w:rsidR="00EF1843" w:rsidRPr="00ED0BE6" w:rsidRDefault="00EF1843" w:rsidP="00EF1843">
      <w:pPr>
        <w:spacing w:line="276" w:lineRule="auto"/>
        <w:jc w:val="both"/>
        <w:rPr>
          <w:rFonts w:ascii="Arial" w:hAnsi="Arial" w:cs="Arial"/>
          <w:sz w:val="22"/>
          <w:szCs w:val="22"/>
        </w:rPr>
      </w:pPr>
    </w:p>
    <w:p w14:paraId="14876A7F" w14:textId="632B3B4A" w:rsidR="00926FA2" w:rsidRPr="00522F41" w:rsidRDefault="00926FA2" w:rsidP="00EF1843">
      <w:pPr>
        <w:jc w:val="center"/>
        <w:rPr>
          <w:rFonts w:ascii="Arial" w:hAnsi="Arial" w:cs="Arial"/>
        </w:rPr>
      </w:pPr>
    </w:p>
    <w:sectPr w:rsidR="00926FA2" w:rsidRPr="00522F41" w:rsidSect="00853ADD">
      <w:headerReference w:type="default" r:id="rId7"/>
      <w:footerReference w:type="default" r:id="rId8"/>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9539F" w14:textId="77777777" w:rsidR="009755CA" w:rsidRDefault="009755CA">
      <w:r>
        <w:separator/>
      </w:r>
    </w:p>
  </w:endnote>
  <w:endnote w:type="continuationSeparator" w:id="0">
    <w:p w14:paraId="087FAFA0" w14:textId="77777777" w:rsidR="009755CA" w:rsidRDefault="00975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Light">
    <w:altName w:val="Myriad Pro Light"/>
    <w:panose1 w:val="020B0604020202020204"/>
    <w:charset w:val="00"/>
    <w:family w:val="swiss"/>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notTrueType/>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B24B9" w14:textId="4BC93BD1" w:rsidR="009D1F48" w:rsidRPr="00F97301" w:rsidRDefault="009B7EED" w:rsidP="009D1F48">
    <w:pPr>
      <w:pStyle w:val="Pidipagina"/>
      <w:jc w:val="center"/>
      <w:rPr>
        <w:rFonts w:ascii="Century Gothic" w:hAnsi="Century Gothic"/>
        <w:color w:val="7B380B"/>
        <w:sz w:val="16"/>
      </w:rPr>
    </w:pPr>
    <w:r w:rsidRPr="00F97301">
      <w:rPr>
        <w:rFonts w:ascii="Century Gothic" w:hAnsi="Century Gothic"/>
        <w:i/>
        <w:iCs/>
        <w:color w:val="7B380B"/>
        <w:sz w:val="14"/>
      </w:rPr>
      <w:t xml:space="preserve">Sede </w:t>
    </w:r>
    <w:r w:rsidR="003E72FE" w:rsidRPr="00F97301">
      <w:rPr>
        <w:rFonts w:ascii="Century Gothic" w:hAnsi="Century Gothic"/>
        <w:i/>
        <w:iCs/>
        <w:color w:val="7B380B"/>
        <w:sz w:val="14"/>
      </w:rPr>
      <w:t>legale:</w:t>
    </w:r>
    <w:r w:rsidR="003E72FE" w:rsidRPr="00F97301">
      <w:rPr>
        <w:rFonts w:ascii="Century Gothic" w:hAnsi="Century Gothic"/>
        <w:i/>
        <w:iCs/>
        <w:color w:val="7B380B"/>
        <w:sz w:val="16"/>
      </w:rPr>
      <w:t xml:space="preserve"> </w:t>
    </w:r>
    <w:r w:rsidR="003E72FE" w:rsidRPr="00F97301">
      <w:rPr>
        <w:rFonts w:ascii="Century Gothic" w:hAnsi="Century Gothic"/>
        <w:color w:val="7B380B"/>
        <w:sz w:val="16"/>
      </w:rPr>
      <w:t>15066 GAVI</w:t>
    </w:r>
    <w:r w:rsidRPr="00F97301">
      <w:rPr>
        <w:rFonts w:ascii="Century Gothic" w:hAnsi="Century Gothic"/>
        <w:color w:val="7B380B"/>
        <w:sz w:val="16"/>
      </w:rPr>
      <w:t xml:space="preserve"> – </w:t>
    </w:r>
    <w:r w:rsidR="00D761B6" w:rsidRPr="00F97301">
      <w:rPr>
        <w:rFonts w:ascii="Century Gothic" w:hAnsi="Century Gothic"/>
        <w:color w:val="7B380B"/>
        <w:sz w:val="16"/>
      </w:rPr>
      <w:t>Corte Zerbo 27</w:t>
    </w:r>
    <w:r w:rsidRPr="00F97301">
      <w:rPr>
        <w:rFonts w:ascii="Century Gothic" w:hAnsi="Century Gothic"/>
        <w:color w:val="7B380B"/>
        <w:sz w:val="16"/>
      </w:rPr>
      <w:t xml:space="preserve"> – </w:t>
    </w:r>
    <w:r w:rsidR="009D1F48" w:rsidRPr="00F97301">
      <w:rPr>
        <w:rFonts w:ascii="Century Gothic" w:hAnsi="Century Gothic"/>
        <w:i/>
        <w:iCs/>
        <w:color w:val="7B380B"/>
        <w:sz w:val="14"/>
      </w:rPr>
      <w:t>E-mail</w:t>
    </w:r>
    <w:r w:rsidR="009D1F48" w:rsidRPr="00F97301">
      <w:rPr>
        <w:rFonts w:ascii="Century Gothic" w:hAnsi="Century Gothic"/>
        <w:color w:val="7B380B"/>
        <w:sz w:val="16"/>
      </w:rPr>
      <w:t xml:space="preserve">   </w:t>
    </w:r>
    <w:r w:rsidR="003E72FE" w:rsidRPr="00F97301">
      <w:rPr>
        <w:rFonts w:ascii="Century Gothic" w:hAnsi="Century Gothic"/>
        <w:color w:val="7B380B"/>
        <w:sz w:val="16"/>
      </w:rPr>
      <w:t>info@consorziogavi.com - www.consorziogavi.com</w:t>
    </w:r>
  </w:p>
  <w:p w14:paraId="2EFC8DDF" w14:textId="224AFEAA" w:rsidR="009D1F48" w:rsidRPr="00F97301" w:rsidRDefault="003E72FE" w:rsidP="009D1F48">
    <w:pPr>
      <w:pStyle w:val="Pidipagina"/>
      <w:jc w:val="center"/>
      <w:rPr>
        <w:rFonts w:ascii="Century Gothic" w:hAnsi="Century Gothic"/>
        <w:color w:val="7B380B"/>
        <w:sz w:val="16"/>
      </w:rPr>
    </w:pPr>
    <w:r w:rsidRPr="00F97301">
      <w:rPr>
        <w:rFonts w:ascii="Century Gothic" w:hAnsi="Century Gothic"/>
        <w:i/>
        <w:iCs/>
        <w:color w:val="7B380B"/>
        <w:sz w:val="14"/>
      </w:rPr>
      <w:t>Tel</w:t>
    </w:r>
    <w:r w:rsidRPr="00F97301">
      <w:rPr>
        <w:rFonts w:ascii="Century Gothic" w:hAnsi="Century Gothic"/>
        <w:i/>
        <w:iCs/>
        <w:color w:val="7B380B"/>
        <w:sz w:val="16"/>
      </w:rPr>
      <w:t xml:space="preserve"> </w:t>
    </w:r>
    <w:r w:rsidRPr="00F97301">
      <w:rPr>
        <w:rFonts w:ascii="Century Gothic" w:hAnsi="Century Gothic"/>
        <w:color w:val="7B380B"/>
        <w:sz w:val="16"/>
      </w:rPr>
      <w:t>0143</w:t>
    </w:r>
    <w:r w:rsidR="009B7EED" w:rsidRPr="00F97301">
      <w:rPr>
        <w:rFonts w:ascii="Century Gothic" w:hAnsi="Century Gothic"/>
        <w:color w:val="7B380B"/>
        <w:sz w:val="16"/>
      </w:rPr>
      <w:t xml:space="preserve"> 645068 – </w:t>
    </w:r>
    <w:r w:rsidRPr="00F97301">
      <w:rPr>
        <w:rFonts w:ascii="Century Gothic" w:hAnsi="Century Gothic"/>
        <w:i/>
        <w:iCs/>
        <w:color w:val="7B380B"/>
        <w:sz w:val="14"/>
      </w:rPr>
      <w:t>Fax</w:t>
    </w:r>
    <w:r w:rsidRPr="00F97301">
      <w:rPr>
        <w:rFonts w:ascii="Century Gothic" w:hAnsi="Century Gothic"/>
        <w:i/>
        <w:iCs/>
        <w:color w:val="7B380B"/>
        <w:sz w:val="16"/>
      </w:rPr>
      <w:t xml:space="preserve"> </w:t>
    </w:r>
    <w:r w:rsidRPr="00F97301">
      <w:rPr>
        <w:rFonts w:ascii="Century Gothic" w:hAnsi="Century Gothic"/>
        <w:color w:val="7B380B"/>
        <w:sz w:val="16"/>
      </w:rPr>
      <w:t>0143</w:t>
    </w:r>
    <w:r w:rsidR="00D761B6" w:rsidRPr="00F97301">
      <w:rPr>
        <w:rFonts w:ascii="Century Gothic" w:hAnsi="Century Gothic"/>
        <w:color w:val="7B380B"/>
        <w:sz w:val="16"/>
      </w:rPr>
      <w:t xml:space="preserve"> </w:t>
    </w:r>
    <w:r w:rsidRPr="00F97301">
      <w:rPr>
        <w:rFonts w:ascii="Century Gothic" w:hAnsi="Century Gothic"/>
        <w:color w:val="7B380B"/>
        <w:sz w:val="16"/>
      </w:rPr>
      <w:t>1975184 - Codice</w:t>
    </w:r>
    <w:r w:rsidR="009D1F48" w:rsidRPr="00F97301">
      <w:rPr>
        <w:rFonts w:ascii="Century Gothic" w:hAnsi="Century Gothic"/>
        <w:i/>
        <w:iCs/>
        <w:color w:val="7B380B"/>
        <w:sz w:val="14"/>
      </w:rPr>
      <w:t xml:space="preserve"> Fiscale</w:t>
    </w:r>
    <w:r w:rsidR="009D1F48" w:rsidRPr="00F97301">
      <w:rPr>
        <w:rFonts w:ascii="Century Gothic" w:hAnsi="Century Gothic"/>
        <w:color w:val="7B380B"/>
        <w:sz w:val="14"/>
      </w:rPr>
      <w:t xml:space="preserve"> </w:t>
    </w:r>
    <w:r w:rsidR="009D1F48" w:rsidRPr="00F97301">
      <w:rPr>
        <w:rFonts w:ascii="Century Gothic" w:hAnsi="Century Gothic"/>
        <w:color w:val="7B380B"/>
        <w:sz w:val="16"/>
      </w:rPr>
      <w:t xml:space="preserve">   </w:t>
    </w:r>
    <w:r w:rsidRPr="00F97301">
      <w:rPr>
        <w:rFonts w:ascii="Century Gothic" w:hAnsi="Century Gothic"/>
        <w:color w:val="7B380B"/>
        <w:sz w:val="16"/>
      </w:rPr>
      <w:t>96020810063 –</w:t>
    </w:r>
    <w:r w:rsidR="009D1F48" w:rsidRPr="00F97301">
      <w:rPr>
        <w:rFonts w:ascii="Century Gothic" w:hAnsi="Century Gothic"/>
        <w:color w:val="7B380B"/>
        <w:sz w:val="16"/>
      </w:rPr>
      <w:t xml:space="preserve">  </w:t>
    </w:r>
    <w:r w:rsidR="009D1F48" w:rsidRPr="00F97301">
      <w:rPr>
        <w:rFonts w:ascii="Century Gothic" w:hAnsi="Century Gothic"/>
        <w:i/>
        <w:iCs/>
        <w:color w:val="7B380B"/>
        <w:sz w:val="14"/>
      </w:rPr>
      <w:t>P</w:t>
    </w:r>
    <w:r w:rsidR="00C74717" w:rsidRPr="00F97301">
      <w:rPr>
        <w:rFonts w:ascii="Century Gothic" w:hAnsi="Century Gothic"/>
        <w:i/>
        <w:iCs/>
        <w:color w:val="7B380B"/>
        <w:sz w:val="14"/>
      </w:rPr>
      <w:t>.</w:t>
    </w:r>
    <w:r w:rsidR="009D1F48" w:rsidRPr="00F97301">
      <w:rPr>
        <w:rFonts w:ascii="Century Gothic" w:hAnsi="Century Gothic"/>
        <w:i/>
        <w:iCs/>
        <w:color w:val="7B380B"/>
        <w:sz w:val="14"/>
      </w:rPr>
      <w:t xml:space="preserve"> IVA</w:t>
    </w:r>
    <w:r w:rsidR="009D1F48" w:rsidRPr="00F97301">
      <w:rPr>
        <w:rFonts w:ascii="Century Gothic" w:hAnsi="Century Gothic"/>
        <w:color w:val="7B380B"/>
        <w:sz w:val="14"/>
      </w:rPr>
      <w:t xml:space="preserve"> </w:t>
    </w:r>
    <w:r w:rsidR="009D1F48" w:rsidRPr="00F97301">
      <w:rPr>
        <w:rFonts w:ascii="Century Gothic" w:hAnsi="Century Gothic"/>
        <w:color w:val="7B380B"/>
        <w:sz w:val="16"/>
      </w:rPr>
      <w:t xml:space="preserve">   01818790063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C1D61" w14:textId="77777777" w:rsidR="009755CA" w:rsidRDefault="009755CA">
      <w:r>
        <w:separator/>
      </w:r>
    </w:p>
  </w:footnote>
  <w:footnote w:type="continuationSeparator" w:id="0">
    <w:p w14:paraId="2B80BCB3" w14:textId="77777777" w:rsidR="009755CA" w:rsidRDefault="009755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9B20B" w14:textId="77777777" w:rsidR="009B7EED" w:rsidRPr="00F97301" w:rsidRDefault="00F97301" w:rsidP="009D1F48">
    <w:pPr>
      <w:pStyle w:val="Intestazione"/>
      <w:jc w:val="center"/>
      <w:rPr>
        <w:color w:val="8E410C"/>
      </w:rPr>
    </w:pPr>
    <w:r w:rsidRPr="00F97301">
      <w:rPr>
        <w:noProof/>
        <w:color w:val="8E410C"/>
      </w:rPr>
      <w:drawing>
        <wp:inline distT="0" distB="0" distL="0" distR="0" wp14:anchorId="0E589AB5" wp14:editId="7833D782">
          <wp:extent cx="1000125" cy="1000125"/>
          <wp:effectExtent l="0" t="0" r="9525"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TdG-7572.png"/>
                  <pic:cNvPicPr/>
                </pic:nvPicPr>
                <pic:blipFill>
                  <a:blip r:embed="rId1">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C0AB9"/>
    <w:multiLevelType w:val="hybridMultilevel"/>
    <w:tmpl w:val="C9B4736C"/>
    <w:lvl w:ilvl="0" w:tplc="04100001">
      <w:start w:val="1"/>
      <w:numFmt w:val="bullet"/>
      <w:lvlText w:val=""/>
      <w:lvlJc w:val="left"/>
      <w:pPr>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15:restartNumberingAfterBreak="0">
    <w:nsid w:val="09967E9C"/>
    <w:multiLevelType w:val="hybridMultilevel"/>
    <w:tmpl w:val="027E1628"/>
    <w:lvl w:ilvl="0" w:tplc="9E6C460C">
      <w:start w:val="1"/>
      <w:numFmt w:val="bullet"/>
      <w:lvlText w:val=""/>
      <w:lvlJc w:val="left"/>
      <w:pPr>
        <w:ind w:left="1425" w:hanging="360"/>
      </w:pPr>
      <w:rPr>
        <w:rFonts w:ascii="Symbol" w:hAnsi="Symbol" w:hint="default"/>
      </w:rPr>
    </w:lvl>
    <w:lvl w:ilvl="1" w:tplc="04100003" w:tentative="1">
      <w:start w:val="1"/>
      <w:numFmt w:val="bullet"/>
      <w:lvlText w:val="o"/>
      <w:lvlJc w:val="left"/>
      <w:pPr>
        <w:ind w:left="2145" w:hanging="360"/>
      </w:pPr>
      <w:rPr>
        <w:rFonts w:ascii="Courier New" w:hAnsi="Courier New" w:cs="Courier New" w:hint="default"/>
      </w:rPr>
    </w:lvl>
    <w:lvl w:ilvl="2" w:tplc="04100005" w:tentative="1">
      <w:start w:val="1"/>
      <w:numFmt w:val="bullet"/>
      <w:lvlText w:val=""/>
      <w:lvlJc w:val="left"/>
      <w:pPr>
        <w:ind w:left="2865" w:hanging="360"/>
      </w:pPr>
      <w:rPr>
        <w:rFonts w:ascii="Wingdings" w:hAnsi="Wingdings" w:hint="default"/>
      </w:rPr>
    </w:lvl>
    <w:lvl w:ilvl="3" w:tplc="04100001" w:tentative="1">
      <w:start w:val="1"/>
      <w:numFmt w:val="bullet"/>
      <w:lvlText w:val=""/>
      <w:lvlJc w:val="left"/>
      <w:pPr>
        <w:ind w:left="3585" w:hanging="360"/>
      </w:pPr>
      <w:rPr>
        <w:rFonts w:ascii="Symbol" w:hAnsi="Symbol" w:hint="default"/>
      </w:rPr>
    </w:lvl>
    <w:lvl w:ilvl="4" w:tplc="04100003" w:tentative="1">
      <w:start w:val="1"/>
      <w:numFmt w:val="bullet"/>
      <w:lvlText w:val="o"/>
      <w:lvlJc w:val="left"/>
      <w:pPr>
        <w:ind w:left="4305" w:hanging="360"/>
      </w:pPr>
      <w:rPr>
        <w:rFonts w:ascii="Courier New" w:hAnsi="Courier New" w:cs="Courier New" w:hint="default"/>
      </w:rPr>
    </w:lvl>
    <w:lvl w:ilvl="5" w:tplc="04100005" w:tentative="1">
      <w:start w:val="1"/>
      <w:numFmt w:val="bullet"/>
      <w:lvlText w:val=""/>
      <w:lvlJc w:val="left"/>
      <w:pPr>
        <w:ind w:left="5025" w:hanging="360"/>
      </w:pPr>
      <w:rPr>
        <w:rFonts w:ascii="Wingdings" w:hAnsi="Wingdings" w:hint="default"/>
      </w:rPr>
    </w:lvl>
    <w:lvl w:ilvl="6" w:tplc="04100001" w:tentative="1">
      <w:start w:val="1"/>
      <w:numFmt w:val="bullet"/>
      <w:lvlText w:val=""/>
      <w:lvlJc w:val="left"/>
      <w:pPr>
        <w:ind w:left="5745" w:hanging="360"/>
      </w:pPr>
      <w:rPr>
        <w:rFonts w:ascii="Symbol" w:hAnsi="Symbol" w:hint="default"/>
      </w:rPr>
    </w:lvl>
    <w:lvl w:ilvl="7" w:tplc="04100003" w:tentative="1">
      <w:start w:val="1"/>
      <w:numFmt w:val="bullet"/>
      <w:lvlText w:val="o"/>
      <w:lvlJc w:val="left"/>
      <w:pPr>
        <w:ind w:left="6465" w:hanging="360"/>
      </w:pPr>
      <w:rPr>
        <w:rFonts w:ascii="Courier New" w:hAnsi="Courier New" w:cs="Courier New" w:hint="default"/>
      </w:rPr>
    </w:lvl>
    <w:lvl w:ilvl="8" w:tplc="04100005" w:tentative="1">
      <w:start w:val="1"/>
      <w:numFmt w:val="bullet"/>
      <w:lvlText w:val=""/>
      <w:lvlJc w:val="left"/>
      <w:pPr>
        <w:ind w:left="7185" w:hanging="360"/>
      </w:pPr>
      <w:rPr>
        <w:rFonts w:ascii="Wingdings" w:hAnsi="Wingdings" w:hint="default"/>
      </w:rPr>
    </w:lvl>
  </w:abstractNum>
  <w:abstractNum w:abstractNumId="2" w15:restartNumberingAfterBreak="0">
    <w:nsid w:val="0A3250D1"/>
    <w:multiLevelType w:val="hybridMultilevel"/>
    <w:tmpl w:val="6B30AB24"/>
    <w:lvl w:ilvl="0" w:tplc="3AB4578A">
      <w:start w:val="1"/>
      <w:numFmt w:val="bullet"/>
      <w:lvlText w:val=""/>
      <w:lvlJc w:val="left"/>
      <w:pPr>
        <w:tabs>
          <w:tab w:val="num" w:pos="360"/>
        </w:tabs>
        <w:ind w:left="357" w:hanging="357"/>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1B141B"/>
    <w:multiLevelType w:val="hybridMultilevel"/>
    <w:tmpl w:val="3C12EF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A946CB"/>
    <w:multiLevelType w:val="hybridMultilevel"/>
    <w:tmpl w:val="3E9A1CA6"/>
    <w:lvl w:ilvl="0" w:tplc="78D8533E">
      <w:numFmt w:val="bullet"/>
      <w:lvlText w:val="-"/>
      <w:lvlJc w:val="left"/>
      <w:pPr>
        <w:ind w:left="269" w:hanging="159"/>
      </w:pPr>
      <w:rPr>
        <w:rFonts w:ascii="Arial" w:eastAsia="Arial" w:hAnsi="Arial" w:cs="Arial" w:hint="default"/>
        <w:w w:val="99"/>
        <w:sz w:val="26"/>
        <w:szCs w:val="26"/>
      </w:rPr>
    </w:lvl>
    <w:lvl w:ilvl="1" w:tplc="FE800918">
      <w:numFmt w:val="bullet"/>
      <w:lvlText w:val="•"/>
      <w:lvlJc w:val="left"/>
      <w:pPr>
        <w:ind w:left="1178" w:hanging="159"/>
      </w:pPr>
      <w:rPr>
        <w:rFonts w:hint="default"/>
      </w:rPr>
    </w:lvl>
    <w:lvl w:ilvl="2" w:tplc="2A66CFDE">
      <w:numFmt w:val="bullet"/>
      <w:lvlText w:val="•"/>
      <w:lvlJc w:val="left"/>
      <w:pPr>
        <w:ind w:left="2096" w:hanging="159"/>
      </w:pPr>
      <w:rPr>
        <w:rFonts w:hint="default"/>
      </w:rPr>
    </w:lvl>
    <w:lvl w:ilvl="3" w:tplc="2CBEEAF0">
      <w:numFmt w:val="bullet"/>
      <w:lvlText w:val="•"/>
      <w:lvlJc w:val="left"/>
      <w:pPr>
        <w:ind w:left="3014" w:hanging="159"/>
      </w:pPr>
      <w:rPr>
        <w:rFonts w:hint="default"/>
      </w:rPr>
    </w:lvl>
    <w:lvl w:ilvl="4" w:tplc="98A6A98A">
      <w:numFmt w:val="bullet"/>
      <w:lvlText w:val="•"/>
      <w:lvlJc w:val="left"/>
      <w:pPr>
        <w:ind w:left="3932" w:hanging="159"/>
      </w:pPr>
      <w:rPr>
        <w:rFonts w:hint="default"/>
      </w:rPr>
    </w:lvl>
    <w:lvl w:ilvl="5" w:tplc="85DA8012">
      <w:numFmt w:val="bullet"/>
      <w:lvlText w:val="•"/>
      <w:lvlJc w:val="left"/>
      <w:pPr>
        <w:ind w:left="4850" w:hanging="159"/>
      </w:pPr>
      <w:rPr>
        <w:rFonts w:hint="default"/>
      </w:rPr>
    </w:lvl>
    <w:lvl w:ilvl="6" w:tplc="B4A223B2">
      <w:numFmt w:val="bullet"/>
      <w:lvlText w:val="•"/>
      <w:lvlJc w:val="left"/>
      <w:pPr>
        <w:ind w:left="5768" w:hanging="159"/>
      </w:pPr>
      <w:rPr>
        <w:rFonts w:hint="default"/>
      </w:rPr>
    </w:lvl>
    <w:lvl w:ilvl="7" w:tplc="AB683A82">
      <w:numFmt w:val="bullet"/>
      <w:lvlText w:val="•"/>
      <w:lvlJc w:val="left"/>
      <w:pPr>
        <w:ind w:left="6686" w:hanging="159"/>
      </w:pPr>
      <w:rPr>
        <w:rFonts w:hint="default"/>
      </w:rPr>
    </w:lvl>
    <w:lvl w:ilvl="8" w:tplc="1B7CE994">
      <w:numFmt w:val="bullet"/>
      <w:lvlText w:val="•"/>
      <w:lvlJc w:val="left"/>
      <w:pPr>
        <w:ind w:left="7604" w:hanging="159"/>
      </w:pPr>
      <w:rPr>
        <w:rFonts w:hint="default"/>
      </w:rPr>
    </w:lvl>
  </w:abstractNum>
  <w:abstractNum w:abstractNumId="5" w15:restartNumberingAfterBreak="0">
    <w:nsid w:val="129A5807"/>
    <w:multiLevelType w:val="hybridMultilevel"/>
    <w:tmpl w:val="B5A64222"/>
    <w:lvl w:ilvl="0" w:tplc="6100ABC2">
      <w:numFmt w:val="bullet"/>
      <w:lvlText w:val="-"/>
      <w:lvlJc w:val="left"/>
      <w:pPr>
        <w:ind w:left="131" w:hanging="154"/>
      </w:pPr>
      <w:rPr>
        <w:w w:val="106"/>
      </w:rPr>
    </w:lvl>
    <w:lvl w:ilvl="1" w:tplc="D1E611CC">
      <w:numFmt w:val="bullet"/>
      <w:lvlText w:val="•"/>
      <w:lvlJc w:val="left"/>
      <w:pPr>
        <w:ind w:left="1144" w:hanging="154"/>
      </w:pPr>
    </w:lvl>
    <w:lvl w:ilvl="2" w:tplc="2DC8CDB0">
      <w:numFmt w:val="bullet"/>
      <w:lvlText w:val="•"/>
      <w:lvlJc w:val="left"/>
      <w:pPr>
        <w:ind w:left="2148" w:hanging="154"/>
      </w:pPr>
    </w:lvl>
    <w:lvl w:ilvl="3" w:tplc="93F47998">
      <w:numFmt w:val="bullet"/>
      <w:lvlText w:val="•"/>
      <w:lvlJc w:val="left"/>
      <w:pPr>
        <w:ind w:left="3152" w:hanging="154"/>
      </w:pPr>
    </w:lvl>
    <w:lvl w:ilvl="4" w:tplc="39248FF0">
      <w:numFmt w:val="bullet"/>
      <w:lvlText w:val="•"/>
      <w:lvlJc w:val="left"/>
      <w:pPr>
        <w:ind w:left="4156" w:hanging="154"/>
      </w:pPr>
    </w:lvl>
    <w:lvl w:ilvl="5" w:tplc="78F84674">
      <w:numFmt w:val="bullet"/>
      <w:lvlText w:val="•"/>
      <w:lvlJc w:val="left"/>
      <w:pPr>
        <w:ind w:left="5160" w:hanging="154"/>
      </w:pPr>
    </w:lvl>
    <w:lvl w:ilvl="6" w:tplc="4F781822">
      <w:numFmt w:val="bullet"/>
      <w:lvlText w:val="•"/>
      <w:lvlJc w:val="left"/>
      <w:pPr>
        <w:ind w:left="6164" w:hanging="154"/>
      </w:pPr>
    </w:lvl>
    <w:lvl w:ilvl="7" w:tplc="1F82353C">
      <w:numFmt w:val="bullet"/>
      <w:lvlText w:val="•"/>
      <w:lvlJc w:val="left"/>
      <w:pPr>
        <w:ind w:left="7169" w:hanging="154"/>
      </w:pPr>
    </w:lvl>
    <w:lvl w:ilvl="8" w:tplc="88E66990">
      <w:numFmt w:val="bullet"/>
      <w:lvlText w:val="•"/>
      <w:lvlJc w:val="left"/>
      <w:pPr>
        <w:ind w:left="8173" w:hanging="154"/>
      </w:pPr>
    </w:lvl>
  </w:abstractNum>
  <w:abstractNum w:abstractNumId="6" w15:restartNumberingAfterBreak="0">
    <w:nsid w:val="16143571"/>
    <w:multiLevelType w:val="multilevel"/>
    <w:tmpl w:val="DFA41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FE67CC"/>
    <w:multiLevelType w:val="multilevel"/>
    <w:tmpl w:val="77A2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072AA9"/>
    <w:multiLevelType w:val="hybridMultilevel"/>
    <w:tmpl w:val="A1E2E902"/>
    <w:lvl w:ilvl="0" w:tplc="3AB4578A">
      <w:start w:val="1"/>
      <w:numFmt w:val="bullet"/>
      <w:lvlText w:val=""/>
      <w:lvlJc w:val="left"/>
      <w:pPr>
        <w:tabs>
          <w:tab w:val="num" w:pos="360"/>
        </w:tabs>
        <w:ind w:left="357" w:hanging="357"/>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2B48AC"/>
    <w:multiLevelType w:val="hybridMultilevel"/>
    <w:tmpl w:val="4B58E0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C2A01EA"/>
    <w:multiLevelType w:val="hybridMultilevel"/>
    <w:tmpl w:val="BAEC65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09A4690"/>
    <w:multiLevelType w:val="hybridMultilevel"/>
    <w:tmpl w:val="A9D4C0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09B6AB3"/>
    <w:multiLevelType w:val="hybridMultilevel"/>
    <w:tmpl w:val="637018C4"/>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3" w15:restartNumberingAfterBreak="0">
    <w:nsid w:val="32DA0CCB"/>
    <w:multiLevelType w:val="hybridMultilevel"/>
    <w:tmpl w:val="04AED9B0"/>
    <w:lvl w:ilvl="0" w:tplc="9E6C460C">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393B5E5C"/>
    <w:multiLevelType w:val="hybridMultilevel"/>
    <w:tmpl w:val="00DAF7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11E621C"/>
    <w:multiLevelType w:val="hybridMultilevel"/>
    <w:tmpl w:val="E4C288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B3F6862"/>
    <w:multiLevelType w:val="hybridMultilevel"/>
    <w:tmpl w:val="E2EAECC2"/>
    <w:lvl w:ilvl="0" w:tplc="0410000F">
      <w:start w:val="1"/>
      <w:numFmt w:val="decimal"/>
      <w:lvlText w:val="%1."/>
      <w:lvlJc w:val="left"/>
      <w:pPr>
        <w:ind w:left="0" w:hanging="360"/>
      </w:pPr>
      <w:rPr>
        <w:rFonts w:hint="default"/>
      </w:rPr>
    </w:lvl>
    <w:lvl w:ilvl="1" w:tplc="04100019" w:tentative="1">
      <w:start w:val="1"/>
      <w:numFmt w:val="lowerLetter"/>
      <w:lvlText w:val="%2."/>
      <w:lvlJc w:val="left"/>
      <w:pPr>
        <w:ind w:left="720" w:hanging="360"/>
      </w:pPr>
    </w:lvl>
    <w:lvl w:ilvl="2" w:tplc="0410001B" w:tentative="1">
      <w:start w:val="1"/>
      <w:numFmt w:val="lowerRoman"/>
      <w:lvlText w:val="%3."/>
      <w:lvlJc w:val="right"/>
      <w:pPr>
        <w:ind w:left="1440" w:hanging="180"/>
      </w:pPr>
    </w:lvl>
    <w:lvl w:ilvl="3" w:tplc="0410000F" w:tentative="1">
      <w:start w:val="1"/>
      <w:numFmt w:val="decimal"/>
      <w:lvlText w:val="%4."/>
      <w:lvlJc w:val="left"/>
      <w:pPr>
        <w:ind w:left="2160" w:hanging="360"/>
      </w:pPr>
    </w:lvl>
    <w:lvl w:ilvl="4" w:tplc="04100019" w:tentative="1">
      <w:start w:val="1"/>
      <w:numFmt w:val="lowerLetter"/>
      <w:lvlText w:val="%5."/>
      <w:lvlJc w:val="left"/>
      <w:pPr>
        <w:ind w:left="2880" w:hanging="360"/>
      </w:pPr>
    </w:lvl>
    <w:lvl w:ilvl="5" w:tplc="0410001B" w:tentative="1">
      <w:start w:val="1"/>
      <w:numFmt w:val="lowerRoman"/>
      <w:lvlText w:val="%6."/>
      <w:lvlJc w:val="right"/>
      <w:pPr>
        <w:ind w:left="3600" w:hanging="180"/>
      </w:pPr>
    </w:lvl>
    <w:lvl w:ilvl="6" w:tplc="0410000F" w:tentative="1">
      <w:start w:val="1"/>
      <w:numFmt w:val="decimal"/>
      <w:lvlText w:val="%7."/>
      <w:lvlJc w:val="left"/>
      <w:pPr>
        <w:ind w:left="4320" w:hanging="360"/>
      </w:pPr>
    </w:lvl>
    <w:lvl w:ilvl="7" w:tplc="04100019" w:tentative="1">
      <w:start w:val="1"/>
      <w:numFmt w:val="lowerLetter"/>
      <w:lvlText w:val="%8."/>
      <w:lvlJc w:val="left"/>
      <w:pPr>
        <w:ind w:left="5040" w:hanging="360"/>
      </w:pPr>
    </w:lvl>
    <w:lvl w:ilvl="8" w:tplc="0410001B" w:tentative="1">
      <w:start w:val="1"/>
      <w:numFmt w:val="lowerRoman"/>
      <w:lvlText w:val="%9."/>
      <w:lvlJc w:val="right"/>
      <w:pPr>
        <w:ind w:left="5760" w:hanging="180"/>
      </w:pPr>
    </w:lvl>
  </w:abstractNum>
  <w:abstractNum w:abstractNumId="17" w15:restartNumberingAfterBreak="0">
    <w:nsid w:val="4FDD1715"/>
    <w:multiLevelType w:val="hybridMultilevel"/>
    <w:tmpl w:val="67DCF2C4"/>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8" w15:restartNumberingAfterBreak="0">
    <w:nsid w:val="51271317"/>
    <w:multiLevelType w:val="hybridMultilevel"/>
    <w:tmpl w:val="FBEC1CAA"/>
    <w:lvl w:ilvl="0" w:tplc="9E6C460C">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9" w15:restartNumberingAfterBreak="0">
    <w:nsid w:val="524C7167"/>
    <w:multiLevelType w:val="hybridMultilevel"/>
    <w:tmpl w:val="9FAAD57C"/>
    <w:lvl w:ilvl="0" w:tplc="04100011">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35C3323"/>
    <w:multiLevelType w:val="hybridMultilevel"/>
    <w:tmpl w:val="EA7888B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CED42CE"/>
    <w:multiLevelType w:val="hybridMultilevel"/>
    <w:tmpl w:val="9FAAD57C"/>
    <w:lvl w:ilvl="0" w:tplc="3B2EC90A">
      <w:start w:val="1"/>
      <w:numFmt w:val="bullet"/>
      <w:lvlText w:val=""/>
      <w:lvlJc w:val="left"/>
      <w:pPr>
        <w:tabs>
          <w:tab w:val="num" w:pos="720"/>
        </w:tabs>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61664AC0"/>
    <w:multiLevelType w:val="hybridMultilevel"/>
    <w:tmpl w:val="D564E856"/>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2DF4CC8"/>
    <w:multiLevelType w:val="hybridMultilevel"/>
    <w:tmpl w:val="09A43E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64E863D7"/>
    <w:multiLevelType w:val="hybridMultilevel"/>
    <w:tmpl w:val="F8406696"/>
    <w:lvl w:ilvl="0" w:tplc="3210DA16">
      <w:numFmt w:val="bullet"/>
      <w:lvlText w:val="-"/>
      <w:lvlJc w:val="left"/>
      <w:pPr>
        <w:ind w:left="786" w:hanging="360"/>
      </w:pPr>
      <w:rPr>
        <w:rFonts w:ascii="Times New Roman" w:eastAsia="Calibri" w:hAnsi="Times New Roman" w:cs="Times New Roman"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25" w15:restartNumberingAfterBreak="0">
    <w:nsid w:val="6A4701D6"/>
    <w:multiLevelType w:val="hybridMultilevel"/>
    <w:tmpl w:val="680C1528"/>
    <w:lvl w:ilvl="0" w:tplc="78782FA0">
      <w:start w:val="49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717D13BD"/>
    <w:multiLevelType w:val="hybridMultilevel"/>
    <w:tmpl w:val="B6263F7E"/>
    <w:lvl w:ilvl="0" w:tplc="04100005">
      <w:start w:val="1"/>
      <w:numFmt w:val="bullet"/>
      <w:lvlText w:val=""/>
      <w:lvlJc w:val="left"/>
      <w:pPr>
        <w:tabs>
          <w:tab w:val="num" w:pos="780"/>
        </w:tabs>
        <w:ind w:left="780" w:hanging="360"/>
      </w:pPr>
      <w:rPr>
        <w:rFonts w:ascii="Wingdings" w:hAnsi="Wingdings" w:hint="default"/>
      </w:rPr>
    </w:lvl>
    <w:lvl w:ilvl="1" w:tplc="04100003" w:tentative="1">
      <w:start w:val="1"/>
      <w:numFmt w:val="bullet"/>
      <w:lvlText w:val="o"/>
      <w:lvlJc w:val="left"/>
      <w:pPr>
        <w:tabs>
          <w:tab w:val="num" w:pos="1500"/>
        </w:tabs>
        <w:ind w:left="1500" w:hanging="360"/>
      </w:pPr>
      <w:rPr>
        <w:rFonts w:ascii="Courier New" w:hAnsi="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27" w15:restartNumberingAfterBreak="0">
    <w:nsid w:val="76282941"/>
    <w:multiLevelType w:val="hybridMultilevel"/>
    <w:tmpl w:val="D466D7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77B821A8"/>
    <w:multiLevelType w:val="multilevel"/>
    <w:tmpl w:val="E5547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C16FC1"/>
    <w:multiLevelType w:val="hybridMultilevel"/>
    <w:tmpl w:val="07246380"/>
    <w:lvl w:ilvl="0" w:tplc="04100017">
      <w:start w:val="1"/>
      <w:numFmt w:val="lowerLetter"/>
      <w:lvlText w:val="%1)"/>
      <w:lvlJc w:val="left"/>
      <w:pPr>
        <w:tabs>
          <w:tab w:val="num" w:pos="360"/>
        </w:tabs>
        <w:ind w:left="360" w:hanging="360"/>
      </w:pPr>
      <w:rPr>
        <w:i w:val="0"/>
        <w:strike w:val="0"/>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7BF52883"/>
    <w:multiLevelType w:val="hybridMultilevel"/>
    <w:tmpl w:val="3D101CD0"/>
    <w:lvl w:ilvl="0" w:tplc="9EFEE80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CFC2F2F"/>
    <w:multiLevelType w:val="hybridMultilevel"/>
    <w:tmpl w:val="98800D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47577300">
    <w:abstractNumId w:val="22"/>
  </w:num>
  <w:num w:numId="2" w16cid:durableId="123425867">
    <w:abstractNumId w:val="26"/>
  </w:num>
  <w:num w:numId="3" w16cid:durableId="935482602">
    <w:abstractNumId w:val="2"/>
  </w:num>
  <w:num w:numId="4" w16cid:durableId="270281192">
    <w:abstractNumId w:val="8"/>
  </w:num>
  <w:num w:numId="5" w16cid:durableId="13218144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74003648">
    <w:abstractNumId w:val="25"/>
  </w:num>
  <w:num w:numId="7" w16cid:durableId="1722367727">
    <w:abstractNumId w:val="16"/>
  </w:num>
  <w:num w:numId="8" w16cid:durableId="2109153604">
    <w:abstractNumId w:val="24"/>
  </w:num>
  <w:num w:numId="9" w16cid:durableId="1266038560">
    <w:abstractNumId w:val="19"/>
  </w:num>
  <w:num w:numId="10" w16cid:durableId="675419180">
    <w:abstractNumId w:val="21"/>
  </w:num>
  <w:num w:numId="11" w16cid:durableId="1211576575">
    <w:abstractNumId w:val="30"/>
  </w:num>
  <w:num w:numId="12" w16cid:durableId="1188718559">
    <w:abstractNumId w:val="6"/>
  </w:num>
  <w:num w:numId="13" w16cid:durableId="1698047428">
    <w:abstractNumId w:val="7"/>
  </w:num>
  <w:num w:numId="14" w16cid:durableId="1035078121">
    <w:abstractNumId w:val="28"/>
  </w:num>
  <w:num w:numId="15" w16cid:durableId="1731658400">
    <w:abstractNumId w:val="10"/>
  </w:num>
  <w:num w:numId="16" w16cid:durableId="1529414422">
    <w:abstractNumId w:val="17"/>
  </w:num>
  <w:num w:numId="17" w16cid:durableId="1461990792">
    <w:abstractNumId w:val="14"/>
  </w:num>
  <w:num w:numId="18" w16cid:durableId="936330902">
    <w:abstractNumId w:val="29"/>
  </w:num>
  <w:num w:numId="19" w16cid:durableId="89812817">
    <w:abstractNumId w:val="4"/>
  </w:num>
  <w:num w:numId="20" w16cid:durableId="834228312">
    <w:abstractNumId w:val="5"/>
  </w:num>
  <w:num w:numId="21" w16cid:durableId="961962747">
    <w:abstractNumId w:val="27"/>
  </w:num>
  <w:num w:numId="22" w16cid:durableId="1763451622">
    <w:abstractNumId w:val="23"/>
  </w:num>
  <w:num w:numId="23" w16cid:durableId="1513061765">
    <w:abstractNumId w:val="11"/>
  </w:num>
  <w:num w:numId="24" w16cid:durableId="1202865996">
    <w:abstractNumId w:val="15"/>
  </w:num>
  <w:num w:numId="25" w16cid:durableId="1131285563">
    <w:abstractNumId w:val="31"/>
  </w:num>
  <w:num w:numId="26" w16cid:durableId="1946884133">
    <w:abstractNumId w:val="0"/>
  </w:num>
  <w:num w:numId="27" w16cid:durableId="368772588">
    <w:abstractNumId w:val="3"/>
  </w:num>
  <w:num w:numId="28" w16cid:durableId="357319049">
    <w:abstractNumId w:val="20"/>
  </w:num>
  <w:num w:numId="29" w16cid:durableId="1123575610">
    <w:abstractNumId w:val="9"/>
  </w:num>
  <w:num w:numId="30" w16cid:durableId="1465194474">
    <w:abstractNumId w:val="18"/>
  </w:num>
  <w:num w:numId="31" w16cid:durableId="873612395">
    <w:abstractNumId w:val="1"/>
  </w:num>
  <w:num w:numId="32" w16cid:durableId="1943466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02C"/>
    <w:rsid w:val="0003337E"/>
    <w:rsid w:val="00036169"/>
    <w:rsid w:val="0003688E"/>
    <w:rsid w:val="00041B59"/>
    <w:rsid w:val="000433A2"/>
    <w:rsid w:val="00045952"/>
    <w:rsid w:val="00047976"/>
    <w:rsid w:val="00052DAD"/>
    <w:rsid w:val="00062F20"/>
    <w:rsid w:val="00075D80"/>
    <w:rsid w:val="0008770C"/>
    <w:rsid w:val="00090652"/>
    <w:rsid w:val="000913AE"/>
    <w:rsid w:val="00092064"/>
    <w:rsid w:val="00097F85"/>
    <w:rsid w:val="000A2234"/>
    <w:rsid w:val="000B55AE"/>
    <w:rsid w:val="000C3A74"/>
    <w:rsid w:val="000D0CDC"/>
    <w:rsid w:val="000D0D84"/>
    <w:rsid w:val="000E447C"/>
    <w:rsid w:val="000E4B53"/>
    <w:rsid w:val="000E6F5B"/>
    <w:rsid w:val="001039CF"/>
    <w:rsid w:val="001065F7"/>
    <w:rsid w:val="00114626"/>
    <w:rsid w:val="00117F50"/>
    <w:rsid w:val="00122A86"/>
    <w:rsid w:val="001340E7"/>
    <w:rsid w:val="001457E1"/>
    <w:rsid w:val="00150458"/>
    <w:rsid w:val="001654D4"/>
    <w:rsid w:val="00170329"/>
    <w:rsid w:val="001707FA"/>
    <w:rsid w:val="00173AFE"/>
    <w:rsid w:val="00174F26"/>
    <w:rsid w:val="0018192E"/>
    <w:rsid w:val="00182E73"/>
    <w:rsid w:val="0018496E"/>
    <w:rsid w:val="001913CF"/>
    <w:rsid w:val="00194EB0"/>
    <w:rsid w:val="00195A81"/>
    <w:rsid w:val="001B1EDB"/>
    <w:rsid w:val="001B7071"/>
    <w:rsid w:val="001C1DBC"/>
    <w:rsid w:val="001C61FA"/>
    <w:rsid w:val="001C7BA2"/>
    <w:rsid w:val="001E2297"/>
    <w:rsid w:val="001F37C1"/>
    <w:rsid w:val="002018D9"/>
    <w:rsid w:val="002041C3"/>
    <w:rsid w:val="00207D9D"/>
    <w:rsid w:val="00210958"/>
    <w:rsid w:val="00215FD7"/>
    <w:rsid w:val="002270CB"/>
    <w:rsid w:val="00236E42"/>
    <w:rsid w:val="00243916"/>
    <w:rsid w:val="0025786A"/>
    <w:rsid w:val="002616D3"/>
    <w:rsid w:val="0026286A"/>
    <w:rsid w:val="002700A3"/>
    <w:rsid w:val="0027053E"/>
    <w:rsid w:val="00273C2A"/>
    <w:rsid w:val="00273D2E"/>
    <w:rsid w:val="00281FD4"/>
    <w:rsid w:val="00283464"/>
    <w:rsid w:val="00287440"/>
    <w:rsid w:val="00293297"/>
    <w:rsid w:val="00294995"/>
    <w:rsid w:val="002A3866"/>
    <w:rsid w:val="002A4DF7"/>
    <w:rsid w:val="002A72E5"/>
    <w:rsid w:val="002B08BE"/>
    <w:rsid w:val="002B1683"/>
    <w:rsid w:val="002B2FA6"/>
    <w:rsid w:val="002B4A69"/>
    <w:rsid w:val="002D03C6"/>
    <w:rsid w:val="002D0F0E"/>
    <w:rsid w:val="002D101A"/>
    <w:rsid w:val="002D4F67"/>
    <w:rsid w:val="002E65BC"/>
    <w:rsid w:val="002F042F"/>
    <w:rsid w:val="002F488B"/>
    <w:rsid w:val="002F685F"/>
    <w:rsid w:val="003027ED"/>
    <w:rsid w:val="00303C36"/>
    <w:rsid w:val="00304224"/>
    <w:rsid w:val="00314869"/>
    <w:rsid w:val="00315DE5"/>
    <w:rsid w:val="00321AFD"/>
    <w:rsid w:val="0033364C"/>
    <w:rsid w:val="00336CAB"/>
    <w:rsid w:val="003403A0"/>
    <w:rsid w:val="00345382"/>
    <w:rsid w:val="00347D47"/>
    <w:rsid w:val="003544A0"/>
    <w:rsid w:val="00363B03"/>
    <w:rsid w:val="00371895"/>
    <w:rsid w:val="00376FD1"/>
    <w:rsid w:val="003866D1"/>
    <w:rsid w:val="0039643A"/>
    <w:rsid w:val="003A7D19"/>
    <w:rsid w:val="003B7144"/>
    <w:rsid w:val="003C4183"/>
    <w:rsid w:val="003C6DCB"/>
    <w:rsid w:val="003C7B0D"/>
    <w:rsid w:val="003D21A9"/>
    <w:rsid w:val="003D358D"/>
    <w:rsid w:val="003D4751"/>
    <w:rsid w:val="003E17B6"/>
    <w:rsid w:val="003E4589"/>
    <w:rsid w:val="003E70CA"/>
    <w:rsid w:val="003E72FE"/>
    <w:rsid w:val="003E738C"/>
    <w:rsid w:val="003E74DA"/>
    <w:rsid w:val="003F0520"/>
    <w:rsid w:val="003F1D1D"/>
    <w:rsid w:val="00413963"/>
    <w:rsid w:val="00416CEB"/>
    <w:rsid w:val="00417F1F"/>
    <w:rsid w:val="00424642"/>
    <w:rsid w:val="00427B8C"/>
    <w:rsid w:val="004618C5"/>
    <w:rsid w:val="00467791"/>
    <w:rsid w:val="004915D1"/>
    <w:rsid w:val="00495AA4"/>
    <w:rsid w:val="0049663A"/>
    <w:rsid w:val="004B0150"/>
    <w:rsid w:val="004C302D"/>
    <w:rsid w:val="004C5074"/>
    <w:rsid w:val="004D1D76"/>
    <w:rsid w:val="004D3E01"/>
    <w:rsid w:val="004E09AB"/>
    <w:rsid w:val="004E53A3"/>
    <w:rsid w:val="004E6575"/>
    <w:rsid w:val="004F6DE0"/>
    <w:rsid w:val="004F7B83"/>
    <w:rsid w:val="005004C8"/>
    <w:rsid w:val="00504E95"/>
    <w:rsid w:val="0050510F"/>
    <w:rsid w:val="00520531"/>
    <w:rsid w:val="00522F41"/>
    <w:rsid w:val="00524261"/>
    <w:rsid w:val="00525414"/>
    <w:rsid w:val="00525626"/>
    <w:rsid w:val="00525EC8"/>
    <w:rsid w:val="005278EA"/>
    <w:rsid w:val="00533D74"/>
    <w:rsid w:val="00533E2F"/>
    <w:rsid w:val="00542219"/>
    <w:rsid w:val="0055126B"/>
    <w:rsid w:val="00551DF4"/>
    <w:rsid w:val="00560B29"/>
    <w:rsid w:val="005870A9"/>
    <w:rsid w:val="00587B7A"/>
    <w:rsid w:val="005A0387"/>
    <w:rsid w:val="005A1025"/>
    <w:rsid w:val="005B026E"/>
    <w:rsid w:val="005C0F24"/>
    <w:rsid w:val="005C1F07"/>
    <w:rsid w:val="005F036A"/>
    <w:rsid w:val="005F1115"/>
    <w:rsid w:val="0060051A"/>
    <w:rsid w:val="00603CD8"/>
    <w:rsid w:val="00605A44"/>
    <w:rsid w:val="00607B2D"/>
    <w:rsid w:val="0061333F"/>
    <w:rsid w:val="00614C93"/>
    <w:rsid w:val="00615904"/>
    <w:rsid w:val="0064159C"/>
    <w:rsid w:val="00644CC0"/>
    <w:rsid w:val="006544A3"/>
    <w:rsid w:val="006619A7"/>
    <w:rsid w:val="006665D0"/>
    <w:rsid w:val="0067363C"/>
    <w:rsid w:val="00696F44"/>
    <w:rsid w:val="006A1272"/>
    <w:rsid w:val="006B09C6"/>
    <w:rsid w:val="006B0E24"/>
    <w:rsid w:val="006B0EB4"/>
    <w:rsid w:val="006B2A43"/>
    <w:rsid w:val="006B70F6"/>
    <w:rsid w:val="006C68E3"/>
    <w:rsid w:val="006E0F3B"/>
    <w:rsid w:val="006E31D9"/>
    <w:rsid w:val="006E36D3"/>
    <w:rsid w:val="006E4D94"/>
    <w:rsid w:val="006F3B4B"/>
    <w:rsid w:val="00707E68"/>
    <w:rsid w:val="007132F7"/>
    <w:rsid w:val="00714179"/>
    <w:rsid w:val="007149C0"/>
    <w:rsid w:val="007237BD"/>
    <w:rsid w:val="00730859"/>
    <w:rsid w:val="0074156F"/>
    <w:rsid w:val="00750F57"/>
    <w:rsid w:val="00753E1B"/>
    <w:rsid w:val="007575EA"/>
    <w:rsid w:val="0076071A"/>
    <w:rsid w:val="00765787"/>
    <w:rsid w:val="00766EA1"/>
    <w:rsid w:val="007724CE"/>
    <w:rsid w:val="00775262"/>
    <w:rsid w:val="00792AF4"/>
    <w:rsid w:val="00794EBF"/>
    <w:rsid w:val="00796A32"/>
    <w:rsid w:val="007A2AB6"/>
    <w:rsid w:val="007A5CD2"/>
    <w:rsid w:val="007B2C5F"/>
    <w:rsid w:val="007B4297"/>
    <w:rsid w:val="007D2768"/>
    <w:rsid w:val="007E59F0"/>
    <w:rsid w:val="007E6A30"/>
    <w:rsid w:val="007F01AA"/>
    <w:rsid w:val="00802537"/>
    <w:rsid w:val="00803C78"/>
    <w:rsid w:val="00841606"/>
    <w:rsid w:val="00853ADD"/>
    <w:rsid w:val="008631C3"/>
    <w:rsid w:val="008721D5"/>
    <w:rsid w:val="0087445E"/>
    <w:rsid w:val="00884A76"/>
    <w:rsid w:val="00884D61"/>
    <w:rsid w:val="00885473"/>
    <w:rsid w:val="00885F75"/>
    <w:rsid w:val="00890161"/>
    <w:rsid w:val="008B3686"/>
    <w:rsid w:val="008C5495"/>
    <w:rsid w:val="008E0BCD"/>
    <w:rsid w:val="008E712F"/>
    <w:rsid w:val="008F2A23"/>
    <w:rsid w:val="008F2ABC"/>
    <w:rsid w:val="008F5AD5"/>
    <w:rsid w:val="00900395"/>
    <w:rsid w:val="009024B2"/>
    <w:rsid w:val="00913B44"/>
    <w:rsid w:val="00913ED1"/>
    <w:rsid w:val="00920012"/>
    <w:rsid w:val="00926FA2"/>
    <w:rsid w:val="00932478"/>
    <w:rsid w:val="009342CB"/>
    <w:rsid w:val="00936633"/>
    <w:rsid w:val="00936D7E"/>
    <w:rsid w:val="00941B83"/>
    <w:rsid w:val="00943033"/>
    <w:rsid w:val="00957473"/>
    <w:rsid w:val="009641A6"/>
    <w:rsid w:val="00967D7A"/>
    <w:rsid w:val="009755CA"/>
    <w:rsid w:val="00983771"/>
    <w:rsid w:val="00985C31"/>
    <w:rsid w:val="00986C41"/>
    <w:rsid w:val="009A36D2"/>
    <w:rsid w:val="009A377D"/>
    <w:rsid w:val="009A5D5E"/>
    <w:rsid w:val="009B31E9"/>
    <w:rsid w:val="009B7EED"/>
    <w:rsid w:val="009C041C"/>
    <w:rsid w:val="009C2D82"/>
    <w:rsid w:val="009D1F48"/>
    <w:rsid w:val="009D6119"/>
    <w:rsid w:val="009E10FD"/>
    <w:rsid w:val="009F46AF"/>
    <w:rsid w:val="00A03373"/>
    <w:rsid w:val="00A035CC"/>
    <w:rsid w:val="00A03810"/>
    <w:rsid w:val="00A05D94"/>
    <w:rsid w:val="00A10AEB"/>
    <w:rsid w:val="00A1173D"/>
    <w:rsid w:val="00A15425"/>
    <w:rsid w:val="00A20376"/>
    <w:rsid w:val="00A20A2C"/>
    <w:rsid w:val="00A276C0"/>
    <w:rsid w:val="00A31FD9"/>
    <w:rsid w:val="00A37CE8"/>
    <w:rsid w:val="00A50876"/>
    <w:rsid w:val="00A55AC6"/>
    <w:rsid w:val="00A564BC"/>
    <w:rsid w:val="00A62E73"/>
    <w:rsid w:val="00A72B46"/>
    <w:rsid w:val="00A7439A"/>
    <w:rsid w:val="00A83D98"/>
    <w:rsid w:val="00A8611B"/>
    <w:rsid w:val="00A87F7A"/>
    <w:rsid w:val="00AA4DCC"/>
    <w:rsid w:val="00AA5C93"/>
    <w:rsid w:val="00AA6E46"/>
    <w:rsid w:val="00AA78B2"/>
    <w:rsid w:val="00AC0656"/>
    <w:rsid w:val="00AC68A5"/>
    <w:rsid w:val="00AD4C21"/>
    <w:rsid w:val="00B030D8"/>
    <w:rsid w:val="00B03E64"/>
    <w:rsid w:val="00B14EF1"/>
    <w:rsid w:val="00B216A9"/>
    <w:rsid w:val="00B22279"/>
    <w:rsid w:val="00B2378C"/>
    <w:rsid w:val="00B50B5E"/>
    <w:rsid w:val="00B57592"/>
    <w:rsid w:val="00B72391"/>
    <w:rsid w:val="00B727E6"/>
    <w:rsid w:val="00B80D6D"/>
    <w:rsid w:val="00B82B44"/>
    <w:rsid w:val="00B918F8"/>
    <w:rsid w:val="00B95B33"/>
    <w:rsid w:val="00BB5C19"/>
    <w:rsid w:val="00BC4C8D"/>
    <w:rsid w:val="00BC65DE"/>
    <w:rsid w:val="00BD01F8"/>
    <w:rsid w:val="00BD3D30"/>
    <w:rsid w:val="00BD4BEE"/>
    <w:rsid w:val="00BE33B4"/>
    <w:rsid w:val="00BE658F"/>
    <w:rsid w:val="00BF6719"/>
    <w:rsid w:val="00C0645C"/>
    <w:rsid w:val="00C15045"/>
    <w:rsid w:val="00C3703A"/>
    <w:rsid w:val="00C44DF3"/>
    <w:rsid w:val="00C573B6"/>
    <w:rsid w:val="00C57B4D"/>
    <w:rsid w:val="00C63BCF"/>
    <w:rsid w:val="00C67B4E"/>
    <w:rsid w:val="00C74717"/>
    <w:rsid w:val="00C93144"/>
    <w:rsid w:val="00CA1C53"/>
    <w:rsid w:val="00CC5A34"/>
    <w:rsid w:val="00CD026F"/>
    <w:rsid w:val="00CD6252"/>
    <w:rsid w:val="00CE545C"/>
    <w:rsid w:val="00CF144D"/>
    <w:rsid w:val="00CF1720"/>
    <w:rsid w:val="00CF5957"/>
    <w:rsid w:val="00D01C27"/>
    <w:rsid w:val="00D10984"/>
    <w:rsid w:val="00D226A8"/>
    <w:rsid w:val="00D30CC6"/>
    <w:rsid w:val="00D3340D"/>
    <w:rsid w:val="00D35303"/>
    <w:rsid w:val="00D411B6"/>
    <w:rsid w:val="00D41789"/>
    <w:rsid w:val="00D51EB1"/>
    <w:rsid w:val="00D6412E"/>
    <w:rsid w:val="00D725F8"/>
    <w:rsid w:val="00D73285"/>
    <w:rsid w:val="00D73CA3"/>
    <w:rsid w:val="00D761B6"/>
    <w:rsid w:val="00D81597"/>
    <w:rsid w:val="00D85BF6"/>
    <w:rsid w:val="00D91D12"/>
    <w:rsid w:val="00DA0B59"/>
    <w:rsid w:val="00DA1CD7"/>
    <w:rsid w:val="00DB001C"/>
    <w:rsid w:val="00DB23E9"/>
    <w:rsid w:val="00DB55EF"/>
    <w:rsid w:val="00DC183C"/>
    <w:rsid w:val="00DC23F3"/>
    <w:rsid w:val="00DD007A"/>
    <w:rsid w:val="00DE7D27"/>
    <w:rsid w:val="00DF2AEE"/>
    <w:rsid w:val="00DF3652"/>
    <w:rsid w:val="00E00CEC"/>
    <w:rsid w:val="00E13A04"/>
    <w:rsid w:val="00E16F6E"/>
    <w:rsid w:val="00E26A44"/>
    <w:rsid w:val="00E372B2"/>
    <w:rsid w:val="00E41A59"/>
    <w:rsid w:val="00E5325F"/>
    <w:rsid w:val="00E545B7"/>
    <w:rsid w:val="00E546C9"/>
    <w:rsid w:val="00E56B82"/>
    <w:rsid w:val="00E62D05"/>
    <w:rsid w:val="00E81336"/>
    <w:rsid w:val="00E84AD9"/>
    <w:rsid w:val="00E91DE6"/>
    <w:rsid w:val="00E93EE6"/>
    <w:rsid w:val="00EA15C8"/>
    <w:rsid w:val="00EA19F9"/>
    <w:rsid w:val="00EA7E09"/>
    <w:rsid w:val="00EB0A5D"/>
    <w:rsid w:val="00EB6769"/>
    <w:rsid w:val="00ED2B6C"/>
    <w:rsid w:val="00EE4428"/>
    <w:rsid w:val="00EF1843"/>
    <w:rsid w:val="00EF531C"/>
    <w:rsid w:val="00F0702C"/>
    <w:rsid w:val="00F07331"/>
    <w:rsid w:val="00F07495"/>
    <w:rsid w:val="00F12A2C"/>
    <w:rsid w:val="00F13CB6"/>
    <w:rsid w:val="00F17D06"/>
    <w:rsid w:val="00F2134C"/>
    <w:rsid w:val="00F213D9"/>
    <w:rsid w:val="00F21F3B"/>
    <w:rsid w:val="00F22826"/>
    <w:rsid w:val="00F24E8C"/>
    <w:rsid w:val="00F2642D"/>
    <w:rsid w:val="00F35EA7"/>
    <w:rsid w:val="00F47D86"/>
    <w:rsid w:val="00F51867"/>
    <w:rsid w:val="00F70A45"/>
    <w:rsid w:val="00F71E3C"/>
    <w:rsid w:val="00F800F6"/>
    <w:rsid w:val="00F94A9F"/>
    <w:rsid w:val="00F9599F"/>
    <w:rsid w:val="00F97301"/>
    <w:rsid w:val="00FA0552"/>
    <w:rsid w:val="00FB0190"/>
    <w:rsid w:val="00FB3C44"/>
    <w:rsid w:val="00FB3F43"/>
    <w:rsid w:val="00FB7DE4"/>
    <w:rsid w:val="00FC78A1"/>
    <w:rsid w:val="00FD6900"/>
    <w:rsid w:val="00FD6ED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38E4AB"/>
  <w15:chartTrackingRefBased/>
  <w15:docId w15:val="{62EE16DF-C088-40C9-A9EA-1E54EBB82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qFormat/>
    <w:pPr>
      <w:keepNext/>
      <w:ind w:left="720"/>
      <w:outlineLvl w:val="0"/>
    </w:pPr>
    <w:rPr>
      <w:i/>
      <w:iCs/>
    </w:rPr>
  </w:style>
  <w:style w:type="paragraph" w:styleId="Titolo2">
    <w:name w:val="heading 2"/>
    <w:basedOn w:val="Normale"/>
    <w:next w:val="Normale"/>
    <w:qFormat/>
    <w:pPr>
      <w:keepNext/>
      <w:outlineLvl w:val="1"/>
    </w:pPr>
    <w:rPr>
      <w:i/>
      <w:iCs/>
    </w:rPr>
  </w:style>
  <w:style w:type="paragraph" w:styleId="Titolo3">
    <w:name w:val="heading 3"/>
    <w:basedOn w:val="Normale"/>
    <w:next w:val="Normale"/>
    <w:link w:val="Titolo3Carattere"/>
    <w:uiPriority w:val="9"/>
    <w:semiHidden/>
    <w:unhideWhenUsed/>
    <w:qFormat/>
    <w:rsid w:val="007A5CD2"/>
    <w:pPr>
      <w:keepNext/>
      <w:spacing w:before="240" w:after="60"/>
      <w:outlineLvl w:val="2"/>
    </w:pPr>
    <w:rPr>
      <w:rFonts w:ascii="Calibri Light" w:hAnsi="Calibri Light"/>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pPr>
      <w:ind w:left="720"/>
    </w:pPr>
  </w:style>
  <w:style w:type="paragraph" w:styleId="Intestazione">
    <w:name w:val="header"/>
    <w:basedOn w:val="Normale"/>
    <w:pPr>
      <w:tabs>
        <w:tab w:val="center" w:pos="4819"/>
        <w:tab w:val="right" w:pos="9638"/>
      </w:tabs>
    </w:pPr>
  </w:style>
  <w:style w:type="paragraph" w:customStyle="1" w:styleId="Corpodeltesto">
    <w:name w:val="Corpo del testo"/>
    <w:basedOn w:val="Normale"/>
    <w:pPr>
      <w:autoSpaceDE w:val="0"/>
      <w:autoSpaceDN w:val="0"/>
      <w:adjustRightInd w:val="0"/>
      <w:spacing w:after="200"/>
      <w:jc w:val="both"/>
    </w:pPr>
    <w:rPr>
      <w:sz w:val="20"/>
      <w:szCs w:val="22"/>
    </w:rPr>
  </w:style>
  <w:style w:type="paragraph" w:styleId="Rientrocorpodeltesto2">
    <w:name w:val="Body Text Indent 2"/>
    <w:basedOn w:val="Normale"/>
    <w:pPr>
      <w:tabs>
        <w:tab w:val="left" w:pos="1260"/>
      </w:tabs>
      <w:ind w:left="1259" w:hanging="1259"/>
    </w:pPr>
    <w:rPr>
      <w:sz w:val="22"/>
    </w:rPr>
  </w:style>
  <w:style w:type="paragraph" w:styleId="Corpodeltesto2">
    <w:name w:val="Body Text 2"/>
    <w:basedOn w:val="Normale"/>
    <w:pPr>
      <w:jc w:val="both"/>
    </w:pPr>
    <w:rPr>
      <w:sz w:val="22"/>
    </w:rPr>
  </w:style>
  <w:style w:type="paragraph" w:styleId="Pidipagina">
    <w:name w:val="footer"/>
    <w:basedOn w:val="Normale"/>
    <w:pPr>
      <w:tabs>
        <w:tab w:val="center" w:pos="4819"/>
        <w:tab w:val="right" w:pos="9638"/>
      </w:tabs>
    </w:pPr>
  </w:style>
  <w:style w:type="character" w:styleId="Collegamentoipertestuale">
    <w:name w:val="Hyperlink"/>
    <w:rPr>
      <w:color w:val="0000FF"/>
      <w:u w:val="single"/>
    </w:rPr>
  </w:style>
  <w:style w:type="paragraph" w:styleId="Testofumetto">
    <w:name w:val="Balloon Text"/>
    <w:basedOn w:val="Normale"/>
    <w:semiHidden/>
    <w:rsid w:val="008E712F"/>
    <w:rPr>
      <w:rFonts w:ascii="Tahoma" w:hAnsi="Tahoma" w:cs="Tahoma"/>
      <w:sz w:val="16"/>
      <w:szCs w:val="16"/>
    </w:rPr>
  </w:style>
  <w:style w:type="paragraph" w:customStyle="1" w:styleId="Default">
    <w:name w:val="Default"/>
    <w:uiPriority w:val="99"/>
    <w:rsid w:val="005004C8"/>
    <w:pPr>
      <w:autoSpaceDE w:val="0"/>
      <w:autoSpaceDN w:val="0"/>
      <w:adjustRightInd w:val="0"/>
    </w:pPr>
    <w:rPr>
      <w:rFonts w:ascii="Myriad Pro Light" w:eastAsia="Calibri" w:hAnsi="Myriad Pro Light" w:cs="Myriad Pro Light"/>
      <w:color w:val="000000"/>
      <w:sz w:val="24"/>
      <w:szCs w:val="24"/>
      <w:lang w:eastAsia="en-US"/>
    </w:rPr>
  </w:style>
  <w:style w:type="paragraph" w:customStyle="1" w:styleId="Pa01">
    <w:name w:val="Pa0+1"/>
    <w:basedOn w:val="Default"/>
    <w:next w:val="Default"/>
    <w:uiPriority w:val="99"/>
    <w:rsid w:val="005004C8"/>
    <w:pPr>
      <w:spacing w:line="241" w:lineRule="atLeast"/>
    </w:pPr>
    <w:rPr>
      <w:rFonts w:cs="Times New Roman"/>
      <w:color w:val="auto"/>
    </w:rPr>
  </w:style>
  <w:style w:type="character" w:styleId="Enfasigrassetto">
    <w:name w:val="Strong"/>
    <w:uiPriority w:val="22"/>
    <w:qFormat/>
    <w:rsid w:val="00045952"/>
    <w:rPr>
      <w:b/>
      <w:bCs/>
    </w:rPr>
  </w:style>
  <w:style w:type="character" w:styleId="Enfasicorsivo">
    <w:name w:val="Emphasis"/>
    <w:uiPriority w:val="20"/>
    <w:qFormat/>
    <w:rsid w:val="00045952"/>
    <w:rPr>
      <w:i/>
      <w:iCs/>
    </w:rPr>
  </w:style>
  <w:style w:type="paragraph" w:styleId="Paragrafoelenco">
    <w:name w:val="List Paragraph"/>
    <w:basedOn w:val="Normale"/>
    <w:uiPriority w:val="34"/>
    <w:qFormat/>
    <w:rsid w:val="005870A9"/>
    <w:pPr>
      <w:ind w:left="720"/>
    </w:pPr>
    <w:rPr>
      <w:rFonts w:ascii="Calibri" w:hAnsi="Calibri"/>
      <w:sz w:val="22"/>
      <w:szCs w:val="22"/>
    </w:rPr>
  </w:style>
  <w:style w:type="paragraph" w:customStyle="1" w:styleId="Point1">
    <w:name w:val="Point 1"/>
    <w:basedOn w:val="Normale"/>
    <w:rsid w:val="0039643A"/>
    <w:pPr>
      <w:spacing w:before="120" w:after="120"/>
      <w:ind w:left="1417" w:hanging="567"/>
      <w:jc w:val="both"/>
    </w:pPr>
    <w:rPr>
      <w:lang w:eastAsia="de-DE"/>
    </w:rPr>
  </w:style>
  <w:style w:type="paragraph" w:styleId="NormaleWeb">
    <w:name w:val="Normal (Web)"/>
    <w:basedOn w:val="Normale"/>
    <w:uiPriority w:val="99"/>
    <w:rsid w:val="0039643A"/>
    <w:pPr>
      <w:spacing w:before="100" w:beforeAutospacing="1" w:after="100" w:afterAutospacing="1"/>
    </w:pPr>
  </w:style>
  <w:style w:type="paragraph" w:styleId="Corpodeltesto3">
    <w:name w:val="Body Text 3"/>
    <w:basedOn w:val="Normale"/>
    <w:link w:val="Corpodeltesto3Carattere"/>
    <w:rsid w:val="0039643A"/>
    <w:pPr>
      <w:spacing w:after="120"/>
    </w:pPr>
    <w:rPr>
      <w:sz w:val="16"/>
      <w:szCs w:val="16"/>
    </w:rPr>
  </w:style>
  <w:style w:type="character" w:customStyle="1" w:styleId="Corpodeltesto3Carattere">
    <w:name w:val="Corpo del testo 3 Carattere"/>
    <w:link w:val="Corpodeltesto3"/>
    <w:rsid w:val="0039643A"/>
    <w:rPr>
      <w:sz w:val="16"/>
      <w:szCs w:val="16"/>
    </w:rPr>
  </w:style>
  <w:style w:type="paragraph" w:customStyle="1" w:styleId="Rientrocorpodeltesto21">
    <w:name w:val="Rientro corpo del testo 21"/>
    <w:basedOn w:val="Normale"/>
    <w:rsid w:val="0039643A"/>
    <w:pPr>
      <w:widowControl w:val="0"/>
      <w:tabs>
        <w:tab w:val="right" w:pos="8640"/>
      </w:tabs>
      <w:spacing w:line="360" w:lineRule="auto"/>
      <w:ind w:firstLine="709"/>
      <w:jc w:val="both"/>
    </w:pPr>
    <w:rPr>
      <w:b/>
      <w:spacing w:val="-2"/>
      <w:sz w:val="20"/>
      <w:szCs w:val="20"/>
    </w:rPr>
  </w:style>
  <w:style w:type="paragraph" w:styleId="Rientrocorpodeltesto3">
    <w:name w:val="Body Text Indent 3"/>
    <w:basedOn w:val="Normale"/>
    <w:link w:val="Rientrocorpodeltesto3Carattere"/>
    <w:rsid w:val="0039643A"/>
    <w:pPr>
      <w:spacing w:after="120"/>
      <w:ind w:left="283"/>
    </w:pPr>
    <w:rPr>
      <w:sz w:val="16"/>
      <w:szCs w:val="16"/>
    </w:rPr>
  </w:style>
  <w:style w:type="character" w:customStyle="1" w:styleId="Rientrocorpodeltesto3Carattere">
    <w:name w:val="Rientro corpo del testo 3 Carattere"/>
    <w:link w:val="Rientrocorpodeltesto3"/>
    <w:rsid w:val="0039643A"/>
    <w:rPr>
      <w:sz w:val="16"/>
      <w:szCs w:val="16"/>
    </w:rPr>
  </w:style>
  <w:style w:type="paragraph" w:customStyle="1" w:styleId="Rientrocorpodeltesto210">
    <w:name w:val="Rientro corpo del testo 21"/>
    <w:basedOn w:val="Normale"/>
    <w:rsid w:val="0039643A"/>
    <w:pPr>
      <w:widowControl w:val="0"/>
      <w:tabs>
        <w:tab w:val="right" w:pos="8640"/>
      </w:tabs>
      <w:spacing w:line="360" w:lineRule="auto"/>
      <w:ind w:firstLine="709"/>
      <w:jc w:val="both"/>
    </w:pPr>
    <w:rPr>
      <w:b/>
      <w:spacing w:val="-2"/>
      <w:sz w:val="20"/>
      <w:szCs w:val="20"/>
    </w:rPr>
  </w:style>
  <w:style w:type="character" w:customStyle="1" w:styleId="apple-converted-space">
    <w:name w:val="apple-converted-space"/>
    <w:basedOn w:val="Carpredefinitoparagrafo"/>
    <w:rsid w:val="00DB001C"/>
  </w:style>
  <w:style w:type="paragraph" w:customStyle="1" w:styleId="Style3">
    <w:name w:val="Style 3"/>
    <w:basedOn w:val="Normale"/>
    <w:rsid w:val="00347D47"/>
    <w:pPr>
      <w:widowControl w:val="0"/>
      <w:snapToGrid w:val="0"/>
      <w:ind w:left="792"/>
      <w:jc w:val="both"/>
    </w:pPr>
    <w:rPr>
      <w:noProof/>
      <w:szCs w:val="20"/>
    </w:rPr>
  </w:style>
  <w:style w:type="paragraph" w:customStyle="1" w:styleId="Style1">
    <w:name w:val="Style 1"/>
    <w:basedOn w:val="Normale"/>
    <w:rsid w:val="00347D47"/>
    <w:pPr>
      <w:widowControl w:val="0"/>
      <w:snapToGrid w:val="0"/>
    </w:pPr>
    <w:rPr>
      <w:noProof/>
      <w:szCs w:val="20"/>
    </w:rPr>
  </w:style>
  <w:style w:type="paragraph" w:customStyle="1" w:styleId="Style2">
    <w:name w:val="Style 2"/>
    <w:basedOn w:val="Normale"/>
    <w:rsid w:val="00347D47"/>
    <w:pPr>
      <w:widowControl w:val="0"/>
      <w:snapToGrid w:val="0"/>
    </w:pPr>
    <w:rPr>
      <w:noProof/>
      <w:szCs w:val="20"/>
    </w:rPr>
  </w:style>
  <w:style w:type="paragraph" w:styleId="Nessunaspaziatura">
    <w:name w:val="No Spacing"/>
    <w:uiPriority w:val="1"/>
    <w:qFormat/>
    <w:rsid w:val="00347D47"/>
    <w:rPr>
      <w:noProof/>
      <w:sz w:val="24"/>
      <w:szCs w:val="24"/>
    </w:rPr>
  </w:style>
  <w:style w:type="character" w:customStyle="1" w:styleId="Titolo3Carattere">
    <w:name w:val="Titolo 3 Carattere"/>
    <w:link w:val="Titolo3"/>
    <w:uiPriority w:val="9"/>
    <w:semiHidden/>
    <w:rsid w:val="007A5CD2"/>
    <w:rPr>
      <w:rFonts w:ascii="Calibri Light" w:eastAsia="Times New Roman" w:hAnsi="Calibri Light" w:cs="Times New Roman"/>
      <w:b/>
      <w:bCs/>
      <w:sz w:val="26"/>
      <w:szCs w:val="26"/>
    </w:rPr>
  </w:style>
  <w:style w:type="character" w:customStyle="1" w:styleId="loc">
    <w:name w:val="loc"/>
    <w:rsid w:val="007A5CD2"/>
  </w:style>
  <w:style w:type="table" w:customStyle="1" w:styleId="TableNormal">
    <w:name w:val="Table Normal"/>
    <w:uiPriority w:val="2"/>
    <w:semiHidden/>
    <w:unhideWhenUsed/>
    <w:qFormat/>
    <w:rsid w:val="00210958"/>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10958"/>
    <w:pPr>
      <w:widowControl w:val="0"/>
      <w:autoSpaceDE w:val="0"/>
      <w:autoSpaceDN w:val="0"/>
      <w:spacing w:before="141"/>
      <w:ind w:left="80"/>
    </w:pPr>
    <w:rPr>
      <w:rFonts w:ascii="Arial" w:eastAsia="Arial" w:hAnsi="Arial" w:cs="Arial"/>
      <w:sz w:val="22"/>
      <w:szCs w:val="22"/>
      <w:lang w:val="en-US" w:eastAsia="en-US"/>
    </w:rPr>
  </w:style>
  <w:style w:type="paragraph" w:styleId="Testonormale">
    <w:name w:val="Plain Text"/>
    <w:basedOn w:val="Normale"/>
    <w:link w:val="TestonormaleCarattere"/>
    <w:rsid w:val="00417F1F"/>
    <w:rPr>
      <w:rFonts w:ascii="Courier New" w:hAnsi="Courier New" w:cs="Courier New"/>
      <w:sz w:val="20"/>
      <w:szCs w:val="20"/>
    </w:rPr>
  </w:style>
  <w:style w:type="character" w:customStyle="1" w:styleId="TestonormaleCarattere">
    <w:name w:val="Testo normale Carattere"/>
    <w:link w:val="Testonormale"/>
    <w:rsid w:val="00417F1F"/>
    <w:rPr>
      <w:rFonts w:ascii="Courier New" w:hAnsi="Courier New" w:cs="Courier New"/>
    </w:rPr>
  </w:style>
  <w:style w:type="paragraph" w:styleId="Elenco">
    <w:name w:val="List"/>
    <w:basedOn w:val="Normale"/>
    <w:rsid w:val="00417F1F"/>
    <w:pPr>
      <w:widowControl w:val="0"/>
      <w:overflowPunct w:val="0"/>
      <w:autoSpaceDE w:val="0"/>
      <w:autoSpaceDN w:val="0"/>
      <w:adjustRightInd w:val="0"/>
      <w:ind w:left="283" w:hanging="283"/>
      <w:textAlignment w:val="baseline"/>
    </w:pPr>
    <w:rPr>
      <w:sz w:val="20"/>
      <w:szCs w:val="20"/>
    </w:rPr>
  </w:style>
  <w:style w:type="paragraph" w:customStyle="1" w:styleId="xmsonormal">
    <w:name w:val="x_msonormal"/>
    <w:basedOn w:val="Normale"/>
    <w:rsid w:val="004D3E01"/>
    <w:pPr>
      <w:spacing w:before="100" w:beforeAutospacing="1" w:after="100" w:afterAutospacing="1"/>
    </w:pPr>
    <w:rPr>
      <w:rFonts w:eastAsia="Calibri"/>
    </w:rPr>
  </w:style>
  <w:style w:type="paragraph" w:customStyle="1" w:styleId="Corpo">
    <w:name w:val="Corpo"/>
    <w:rsid w:val="00C57B4D"/>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styleId="Corpotesto">
    <w:name w:val="Body Text"/>
    <w:basedOn w:val="Normale"/>
    <w:link w:val="CorpotestoCarattere"/>
    <w:uiPriority w:val="99"/>
    <w:semiHidden/>
    <w:unhideWhenUsed/>
    <w:rsid w:val="0087445E"/>
    <w:pPr>
      <w:spacing w:after="120"/>
    </w:pPr>
    <w:rPr>
      <w:rFonts w:ascii="Calibri" w:eastAsiaTheme="minorHAnsi" w:hAnsi="Calibri" w:cs="Calibri"/>
      <w:sz w:val="22"/>
      <w:szCs w:val="22"/>
    </w:rPr>
  </w:style>
  <w:style w:type="character" w:customStyle="1" w:styleId="CorpotestoCarattere">
    <w:name w:val="Corpo testo Carattere"/>
    <w:basedOn w:val="Carpredefinitoparagrafo"/>
    <w:link w:val="Corpotesto"/>
    <w:uiPriority w:val="99"/>
    <w:semiHidden/>
    <w:rsid w:val="0087445E"/>
    <w:rPr>
      <w:rFonts w:ascii="Calibri" w:eastAsiaTheme="minorHAnsi" w:hAnsi="Calibri" w:cs="Calibri"/>
      <w:sz w:val="22"/>
      <w:szCs w:val="22"/>
    </w:rPr>
  </w:style>
  <w:style w:type="paragraph" w:customStyle="1" w:styleId="CM1">
    <w:name w:val="CM1"/>
    <w:basedOn w:val="Default"/>
    <w:next w:val="Default"/>
    <w:uiPriority w:val="99"/>
    <w:rsid w:val="004E53A3"/>
    <w:pPr>
      <w:widowControl w:val="0"/>
    </w:pPr>
    <w:rPr>
      <w:rFonts w:ascii="Times New Roman" w:eastAsiaTheme="minorEastAsia" w:hAnsi="Times New Roman" w:cs="Times New Roman"/>
      <w:color w:val="auto"/>
      <w:lang w:eastAsia="it-IT"/>
    </w:rPr>
  </w:style>
  <w:style w:type="paragraph" w:customStyle="1" w:styleId="CM3">
    <w:name w:val="CM3"/>
    <w:basedOn w:val="Default"/>
    <w:next w:val="Default"/>
    <w:uiPriority w:val="99"/>
    <w:rsid w:val="004E53A3"/>
    <w:pPr>
      <w:widowControl w:val="0"/>
      <w:spacing w:after="253"/>
    </w:pPr>
    <w:rPr>
      <w:rFonts w:ascii="Times New Roman" w:eastAsiaTheme="minorEastAsia" w:hAnsi="Times New Roman" w:cs="Times New Roman"/>
      <w:color w:val="auto"/>
      <w:lang w:eastAsia="it-IT"/>
    </w:rPr>
  </w:style>
  <w:style w:type="character" w:customStyle="1" w:styleId="s4">
    <w:name w:val="s4"/>
    <w:basedOn w:val="Carpredefinitoparagrafo"/>
    <w:rsid w:val="001B7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9035339">
      <w:bodyDiv w:val="1"/>
      <w:marLeft w:val="0"/>
      <w:marRight w:val="0"/>
      <w:marTop w:val="0"/>
      <w:marBottom w:val="0"/>
      <w:divBdr>
        <w:top w:val="none" w:sz="0" w:space="0" w:color="auto"/>
        <w:left w:val="none" w:sz="0" w:space="0" w:color="auto"/>
        <w:bottom w:val="none" w:sz="0" w:space="0" w:color="auto"/>
        <w:right w:val="none" w:sz="0" w:space="0" w:color="auto"/>
      </w:divBdr>
      <w:divsChild>
        <w:div w:id="994065283">
          <w:marLeft w:val="0"/>
          <w:marRight w:val="0"/>
          <w:marTop w:val="0"/>
          <w:marBottom w:val="0"/>
          <w:divBdr>
            <w:top w:val="none" w:sz="0" w:space="0" w:color="auto"/>
            <w:left w:val="none" w:sz="0" w:space="0" w:color="auto"/>
            <w:bottom w:val="none" w:sz="0" w:space="0" w:color="auto"/>
            <w:right w:val="none" w:sz="0" w:space="0" w:color="auto"/>
          </w:divBdr>
          <w:divsChild>
            <w:div w:id="1506554408">
              <w:marLeft w:val="0"/>
              <w:marRight w:val="0"/>
              <w:marTop w:val="0"/>
              <w:marBottom w:val="0"/>
              <w:divBdr>
                <w:top w:val="none" w:sz="0" w:space="0" w:color="auto"/>
                <w:left w:val="none" w:sz="0" w:space="0" w:color="auto"/>
                <w:bottom w:val="none" w:sz="0" w:space="0" w:color="auto"/>
                <w:right w:val="none" w:sz="0" w:space="0" w:color="auto"/>
              </w:divBdr>
              <w:divsChild>
                <w:div w:id="988051744">
                  <w:marLeft w:val="0"/>
                  <w:marRight w:val="0"/>
                  <w:marTop w:val="0"/>
                  <w:marBottom w:val="0"/>
                  <w:divBdr>
                    <w:top w:val="none" w:sz="0" w:space="0" w:color="auto"/>
                    <w:left w:val="none" w:sz="0" w:space="0" w:color="auto"/>
                    <w:bottom w:val="none" w:sz="0" w:space="0" w:color="auto"/>
                    <w:right w:val="none" w:sz="0" w:space="0" w:color="auto"/>
                  </w:divBdr>
                  <w:divsChild>
                    <w:div w:id="75625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749435">
      <w:bodyDiv w:val="1"/>
      <w:marLeft w:val="0"/>
      <w:marRight w:val="0"/>
      <w:marTop w:val="0"/>
      <w:marBottom w:val="0"/>
      <w:divBdr>
        <w:top w:val="none" w:sz="0" w:space="0" w:color="auto"/>
        <w:left w:val="none" w:sz="0" w:space="0" w:color="auto"/>
        <w:bottom w:val="none" w:sz="0" w:space="0" w:color="auto"/>
        <w:right w:val="none" w:sz="0" w:space="0" w:color="auto"/>
      </w:divBdr>
    </w:div>
    <w:div w:id="992181621">
      <w:bodyDiv w:val="1"/>
      <w:marLeft w:val="0"/>
      <w:marRight w:val="0"/>
      <w:marTop w:val="0"/>
      <w:marBottom w:val="0"/>
      <w:divBdr>
        <w:top w:val="none" w:sz="0" w:space="0" w:color="auto"/>
        <w:left w:val="none" w:sz="0" w:space="0" w:color="auto"/>
        <w:bottom w:val="none" w:sz="0" w:space="0" w:color="auto"/>
        <w:right w:val="none" w:sz="0" w:space="0" w:color="auto"/>
      </w:divBdr>
      <w:divsChild>
        <w:div w:id="1799765428">
          <w:marLeft w:val="0"/>
          <w:marRight w:val="0"/>
          <w:marTop w:val="0"/>
          <w:marBottom w:val="0"/>
          <w:divBdr>
            <w:top w:val="none" w:sz="0" w:space="0" w:color="auto"/>
            <w:left w:val="none" w:sz="0" w:space="0" w:color="auto"/>
            <w:bottom w:val="none" w:sz="0" w:space="0" w:color="auto"/>
            <w:right w:val="none" w:sz="0" w:space="0" w:color="auto"/>
          </w:divBdr>
        </w:div>
      </w:divsChild>
    </w:div>
    <w:div w:id="1032650878">
      <w:bodyDiv w:val="1"/>
      <w:marLeft w:val="0"/>
      <w:marRight w:val="0"/>
      <w:marTop w:val="0"/>
      <w:marBottom w:val="0"/>
      <w:divBdr>
        <w:top w:val="none" w:sz="0" w:space="0" w:color="auto"/>
        <w:left w:val="none" w:sz="0" w:space="0" w:color="auto"/>
        <w:bottom w:val="none" w:sz="0" w:space="0" w:color="auto"/>
        <w:right w:val="none" w:sz="0" w:space="0" w:color="auto"/>
      </w:divBdr>
    </w:div>
    <w:div w:id="1041176120">
      <w:bodyDiv w:val="1"/>
      <w:marLeft w:val="0"/>
      <w:marRight w:val="0"/>
      <w:marTop w:val="0"/>
      <w:marBottom w:val="0"/>
      <w:divBdr>
        <w:top w:val="none" w:sz="0" w:space="0" w:color="auto"/>
        <w:left w:val="none" w:sz="0" w:space="0" w:color="auto"/>
        <w:bottom w:val="none" w:sz="0" w:space="0" w:color="auto"/>
        <w:right w:val="none" w:sz="0" w:space="0" w:color="auto"/>
      </w:divBdr>
    </w:div>
    <w:div w:id="1256473684">
      <w:bodyDiv w:val="1"/>
      <w:marLeft w:val="0"/>
      <w:marRight w:val="0"/>
      <w:marTop w:val="0"/>
      <w:marBottom w:val="0"/>
      <w:divBdr>
        <w:top w:val="none" w:sz="0" w:space="0" w:color="auto"/>
        <w:left w:val="none" w:sz="0" w:space="0" w:color="auto"/>
        <w:bottom w:val="none" w:sz="0" w:space="0" w:color="auto"/>
        <w:right w:val="none" w:sz="0" w:space="0" w:color="auto"/>
      </w:divBdr>
    </w:div>
    <w:div w:id="1445614222">
      <w:bodyDiv w:val="1"/>
      <w:marLeft w:val="0"/>
      <w:marRight w:val="0"/>
      <w:marTop w:val="0"/>
      <w:marBottom w:val="0"/>
      <w:divBdr>
        <w:top w:val="none" w:sz="0" w:space="0" w:color="auto"/>
        <w:left w:val="none" w:sz="0" w:space="0" w:color="auto"/>
        <w:bottom w:val="none" w:sz="0" w:space="0" w:color="auto"/>
        <w:right w:val="none" w:sz="0" w:space="0" w:color="auto"/>
      </w:divBdr>
    </w:div>
    <w:div w:id="1446660178">
      <w:bodyDiv w:val="1"/>
      <w:marLeft w:val="0"/>
      <w:marRight w:val="0"/>
      <w:marTop w:val="0"/>
      <w:marBottom w:val="0"/>
      <w:divBdr>
        <w:top w:val="none" w:sz="0" w:space="0" w:color="auto"/>
        <w:left w:val="none" w:sz="0" w:space="0" w:color="auto"/>
        <w:bottom w:val="none" w:sz="0" w:space="0" w:color="auto"/>
        <w:right w:val="none" w:sz="0" w:space="0" w:color="auto"/>
      </w:divBdr>
    </w:div>
    <w:div w:id="1710496797">
      <w:bodyDiv w:val="1"/>
      <w:marLeft w:val="0"/>
      <w:marRight w:val="0"/>
      <w:marTop w:val="0"/>
      <w:marBottom w:val="0"/>
      <w:divBdr>
        <w:top w:val="none" w:sz="0" w:space="0" w:color="auto"/>
        <w:left w:val="none" w:sz="0" w:space="0" w:color="auto"/>
        <w:bottom w:val="none" w:sz="0" w:space="0" w:color="auto"/>
        <w:right w:val="none" w:sz="0" w:space="0" w:color="auto"/>
      </w:divBdr>
      <w:divsChild>
        <w:div w:id="1807776652">
          <w:blockQuote w:val="1"/>
          <w:marLeft w:val="0"/>
          <w:marRight w:val="0"/>
          <w:marTop w:val="0"/>
          <w:marBottom w:val="270"/>
          <w:divBdr>
            <w:top w:val="none" w:sz="0" w:space="0" w:color="auto"/>
            <w:left w:val="single" w:sz="36" w:space="11" w:color="EEEEEE"/>
            <w:bottom w:val="none" w:sz="0" w:space="0" w:color="auto"/>
            <w:right w:val="none" w:sz="0" w:space="0" w:color="auto"/>
          </w:divBdr>
        </w:div>
      </w:divsChild>
    </w:div>
    <w:div w:id="1927028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637</Words>
  <Characters>3412</Characters>
  <Application>Microsoft Office Word</Application>
  <DocSecurity>0</DocSecurity>
  <Lines>65</Lines>
  <Paragraphs>15</Paragraphs>
  <ScaleCrop>false</ScaleCrop>
  <HeadingPairs>
    <vt:vector size="2" baseType="variant">
      <vt:variant>
        <vt:lpstr>Titolo</vt:lpstr>
      </vt:variant>
      <vt:variant>
        <vt:i4>1</vt:i4>
      </vt:variant>
    </vt:vector>
  </HeadingPairs>
  <TitlesOfParts>
    <vt:vector size="1" baseType="lpstr">
      <vt:lpstr>Gent</vt:lpstr>
    </vt:vector>
  </TitlesOfParts>
  <Company>Consorzio Tutela del Gavi</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Gent</dc:title>
  <dc:subject/>
  <dc:creator>Consorzio Tutela del Gavi</dc:creator>
  <cp:keywords/>
  <dc:description/>
  <cp:lastModifiedBy>Selvaggia Stefanelli</cp:lastModifiedBy>
  <cp:revision>4</cp:revision>
  <cp:lastPrinted>2022-03-31T11:32:00Z</cp:lastPrinted>
  <dcterms:created xsi:type="dcterms:W3CDTF">2026-06-15T08:18:00Z</dcterms:created>
  <dcterms:modified xsi:type="dcterms:W3CDTF">2026-06-15T10:41:00Z</dcterms:modified>
</cp:coreProperties>
</file>